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DF" w:rsidRPr="004F5420" w:rsidRDefault="00B906DF" w:rsidP="00D50223">
      <w:pPr>
        <w:jc w:val="both"/>
        <w:rPr>
          <w:sz w:val="22"/>
          <w:szCs w:val="22"/>
          <w:lang w:val="sr-Cyrl-CS"/>
        </w:rPr>
      </w:pPr>
      <w:bookmarkStart w:id="0" w:name="_GoBack"/>
      <w:bookmarkEnd w:id="0"/>
      <w:r w:rsidRPr="004F5420">
        <w:rPr>
          <w:sz w:val="22"/>
          <w:szCs w:val="22"/>
          <w:lang w:val="sr-Cyrl-CS"/>
        </w:rPr>
        <w:t xml:space="preserve">На основу Решења стечајног судије Привредног суда у </w:t>
      </w:r>
      <w:r w:rsidR="0034224F" w:rsidRPr="004F5420">
        <w:rPr>
          <w:sz w:val="22"/>
          <w:szCs w:val="22"/>
          <w:lang w:val="sr-Cyrl-CS"/>
        </w:rPr>
        <w:t>Београду</w:t>
      </w:r>
      <w:r w:rsidRPr="004F5420">
        <w:rPr>
          <w:sz w:val="22"/>
          <w:szCs w:val="22"/>
          <w:lang w:val="sr-Cyrl-CS"/>
        </w:rPr>
        <w:t xml:space="preserve"> Ст.</w:t>
      </w:r>
      <w:r w:rsidR="00D3463F" w:rsidRPr="004F5420">
        <w:rPr>
          <w:sz w:val="22"/>
          <w:szCs w:val="22"/>
          <w:lang w:val="sr-Cyrl-CS"/>
        </w:rPr>
        <w:t xml:space="preserve"> бр. </w:t>
      </w:r>
      <w:r w:rsidR="0034224F" w:rsidRPr="004F5420">
        <w:rPr>
          <w:sz w:val="22"/>
          <w:szCs w:val="22"/>
          <w:lang w:val="sr-Cyrl-CS"/>
        </w:rPr>
        <w:t>170/18</w:t>
      </w:r>
      <w:r w:rsidR="00172010">
        <w:rPr>
          <w:sz w:val="22"/>
          <w:szCs w:val="22"/>
          <w:lang w:val="sr-Cyrl-CS"/>
        </w:rPr>
        <w:t xml:space="preserve"> од </w:t>
      </w:r>
      <w:r w:rsidR="0077293E" w:rsidRPr="004F5420">
        <w:rPr>
          <w:sz w:val="22"/>
          <w:szCs w:val="22"/>
          <w:lang w:val="sr-Cyrl-CS"/>
        </w:rPr>
        <w:t>19.03.2019</w:t>
      </w:r>
      <w:r w:rsidRPr="004F5420">
        <w:rPr>
          <w:sz w:val="22"/>
          <w:szCs w:val="22"/>
          <w:lang w:val="sr-Cyrl-CS"/>
        </w:rPr>
        <w:t xml:space="preserve">. </w:t>
      </w:r>
      <w:r w:rsidR="0077293E" w:rsidRPr="004F5420">
        <w:rPr>
          <w:sz w:val="22"/>
          <w:szCs w:val="22"/>
          <w:lang w:val="sr-Cyrl-CS"/>
        </w:rPr>
        <w:t>год.</w:t>
      </w:r>
      <w:r w:rsidRPr="004F5420">
        <w:rPr>
          <w:sz w:val="22"/>
          <w:szCs w:val="22"/>
          <w:lang w:val="sr-Cyrl-CS"/>
        </w:rPr>
        <w:t>, а у складу са чланoвима 131, 132 и 133 Закона о стечају (</w:t>
      </w:r>
      <w:r w:rsidRPr="004F5420">
        <w:rPr>
          <w:i/>
          <w:sz w:val="22"/>
          <w:szCs w:val="22"/>
          <w:lang w:val="sr-Cyrl-CS"/>
        </w:rPr>
        <w:t>Службени гласник Републике Србије</w:t>
      </w:r>
      <w:r w:rsidRPr="004F5420">
        <w:rPr>
          <w:sz w:val="22"/>
          <w:szCs w:val="22"/>
          <w:lang w:val="sr-Cyrl-CS"/>
        </w:rPr>
        <w:t>,</w:t>
      </w:r>
      <w:r w:rsidR="00D3463F" w:rsidRPr="004F5420">
        <w:rPr>
          <w:sz w:val="22"/>
          <w:szCs w:val="22"/>
          <w:lang w:val="sr-Cyrl-CS"/>
        </w:rPr>
        <w:t>бр. 104/</w:t>
      </w:r>
      <w:r w:rsidRPr="004F5420">
        <w:rPr>
          <w:sz w:val="22"/>
          <w:szCs w:val="22"/>
          <w:lang w:val="sr-Cyrl-CS"/>
        </w:rPr>
        <w:t>09</w:t>
      </w:r>
      <w:r w:rsidR="0077293E" w:rsidRPr="004F5420">
        <w:rPr>
          <w:sz w:val="22"/>
          <w:szCs w:val="22"/>
          <w:lang w:val="sr-Cyrl-CS"/>
        </w:rPr>
        <w:t>, 99/11 – др. закон, 71/12 – УС, 83/14, 113/17, 44/18</w:t>
      </w:r>
      <w:r w:rsidRPr="004F5420">
        <w:rPr>
          <w:sz w:val="22"/>
          <w:szCs w:val="22"/>
          <w:lang w:val="sr-Cyrl-CS"/>
        </w:rPr>
        <w:t>) и Националним стандардом број 5 – Национални стандард о начину и поступку уновчења имовине стечајног дужника (</w:t>
      </w:r>
      <w:r w:rsidRPr="004F5420">
        <w:rPr>
          <w:i/>
          <w:sz w:val="22"/>
          <w:szCs w:val="22"/>
          <w:lang w:val="sr-Cyrl-CS"/>
        </w:rPr>
        <w:t>Службени гласник Републике Србије</w:t>
      </w:r>
      <w:r w:rsidR="00D3463F" w:rsidRPr="004F5420">
        <w:rPr>
          <w:sz w:val="22"/>
          <w:szCs w:val="22"/>
          <w:lang w:val="sr-Cyrl-CS"/>
        </w:rPr>
        <w:t xml:space="preserve">, бр. </w:t>
      </w:r>
      <w:r w:rsidR="0077293E" w:rsidRPr="004F5420">
        <w:rPr>
          <w:sz w:val="22"/>
          <w:szCs w:val="22"/>
          <w:lang w:val="sr-Cyrl-CS"/>
        </w:rPr>
        <w:t>62</w:t>
      </w:r>
      <w:r w:rsidR="00D3463F" w:rsidRPr="004F5420">
        <w:rPr>
          <w:sz w:val="22"/>
          <w:szCs w:val="22"/>
          <w:lang w:val="sr-Cyrl-CS"/>
        </w:rPr>
        <w:t>/</w:t>
      </w:r>
      <w:r w:rsidRPr="004F5420">
        <w:rPr>
          <w:sz w:val="22"/>
          <w:szCs w:val="22"/>
          <w:lang w:val="sr-Cyrl-CS"/>
        </w:rPr>
        <w:t>1</w:t>
      </w:r>
      <w:r w:rsidR="0077293E" w:rsidRPr="004F5420">
        <w:rPr>
          <w:sz w:val="22"/>
          <w:szCs w:val="22"/>
          <w:lang w:val="sr-Cyrl-CS"/>
        </w:rPr>
        <w:t>8</w:t>
      </w:r>
      <w:r w:rsidRPr="004F5420">
        <w:rPr>
          <w:sz w:val="22"/>
          <w:szCs w:val="22"/>
          <w:lang w:val="sr-Cyrl-CS"/>
        </w:rPr>
        <w:t>), стечајни управник стечајног дужника</w:t>
      </w:r>
    </w:p>
    <w:p w:rsidR="00B906DF" w:rsidRPr="004F5420" w:rsidRDefault="00B906DF" w:rsidP="00D50223">
      <w:pPr>
        <w:jc w:val="both"/>
        <w:rPr>
          <w:sz w:val="22"/>
          <w:szCs w:val="22"/>
          <w:lang w:val="sr-Cyrl-CS"/>
        </w:rPr>
      </w:pPr>
    </w:p>
    <w:p w:rsidR="00B906DF" w:rsidRPr="004F5420" w:rsidRDefault="00513AC5" w:rsidP="00D50223">
      <w:pPr>
        <w:jc w:val="center"/>
        <w:rPr>
          <w:b/>
          <w:sz w:val="22"/>
          <w:szCs w:val="22"/>
          <w:lang w:val="sr-Cyrl-CS"/>
        </w:rPr>
      </w:pPr>
      <w:r w:rsidRPr="004F5420">
        <w:rPr>
          <w:b/>
          <w:sz w:val="22"/>
          <w:szCs w:val="22"/>
          <w:lang w:val="sr-Cyrl-CS"/>
        </w:rPr>
        <w:t>NEW DEAL CTP &amp; PREPRESS EXPERTS д.о.о. Београд (Савски венац) у стечају</w:t>
      </w:r>
    </w:p>
    <w:p w:rsidR="00B906DF" w:rsidRPr="00A164D6" w:rsidRDefault="00513AC5" w:rsidP="00D50223">
      <w:pPr>
        <w:jc w:val="center"/>
        <w:rPr>
          <w:sz w:val="22"/>
          <w:szCs w:val="22"/>
          <w:lang w:val="sr-Cyrl-CS"/>
        </w:rPr>
      </w:pPr>
      <w:r w:rsidRPr="004F5420">
        <w:rPr>
          <w:sz w:val="22"/>
          <w:szCs w:val="22"/>
          <w:lang w:val="sr-Cyrl-CS"/>
        </w:rPr>
        <w:t xml:space="preserve">Београд, Булевар војводе Мишића бр. 14, </w:t>
      </w:r>
      <w:r w:rsidRPr="00A164D6">
        <w:rPr>
          <w:sz w:val="22"/>
          <w:szCs w:val="22"/>
          <w:lang w:val="sr-Cyrl-CS"/>
        </w:rPr>
        <w:t>матични бр. 20295627</w:t>
      </w:r>
    </w:p>
    <w:p w:rsidR="00B906DF" w:rsidRPr="004F5420" w:rsidRDefault="00B906DF" w:rsidP="00D50223">
      <w:pPr>
        <w:jc w:val="center"/>
        <w:rPr>
          <w:b/>
          <w:sz w:val="22"/>
          <w:szCs w:val="22"/>
          <w:lang w:val="sr-Cyrl-CS"/>
        </w:rPr>
      </w:pPr>
    </w:p>
    <w:p w:rsidR="00B906DF" w:rsidRPr="004F5420" w:rsidRDefault="00B906DF" w:rsidP="00D50223">
      <w:pPr>
        <w:jc w:val="center"/>
        <w:rPr>
          <w:b/>
          <w:sz w:val="22"/>
          <w:szCs w:val="22"/>
          <w:lang w:val="sr-Cyrl-CS"/>
        </w:rPr>
      </w:pPr>
      <w:r w:rsidRPr="004F5420">
        <w:rPr>
          <w:b/>
          <w:sz w:val="22"/>
          <w:szCs w:val="22"/>
          <w:lang w:val="sr-Cyrl-CS"/>
        </w:rPr>
        <w:t>ОГЛАШАВА</w:t>
      </w:r>
    </w:p>
    <w:p w:rsidR="00B906DF" w:rsidRPr="004F5420" w:rsidRDefault="00B906DF" w:rsidP="00D50223">
      <w:pPr>
        <w:jc w:val="center"/>
        <w:rPr>
          <w:b/>
          <w:sz w:val="22"/>
          <w:szCs w:val="22"/>
          <w:lang w:val="sr-Cyrl-CS"/>
        </w:rPr>
      </w:pPr>
    </w:p>
    <w:p w:rsidR="00B906DF" w:rsidRPr="004F5420" w:rsidRDefault="00B44908" w:rsidP="00D50223">
      <w:pPr>
        <w:jc w:val="center"/>
        <w:rPr>
          <w:b/>
          <w:sz w:val="22"/>
          <w:szCs w:val="22"/>
          <w:lang w:val="sr-Cyrl-CS"/>
        </w:rPr>
      </w:pPr>
      <w:r w:rsidRPr="00A164D6">
        <w:rPr>
          <w:b/>
          <w:sz w:val="22"/>
          <w:szCs w:val="22"/>
          <w:lang w:val="sr-Cyrl-CS"/>
        </w:rPr>
        <w:t>ПРВУ ПРОДАЈУ</w:t>
      </w:r>
      <w:r w:rsidR="005248B7" w:rsidRPr="004F5420">
        <w:rPr>
          <w:b/>
          <w:sz w:val="22"/>
          <w:szCs w:val="22"/>
          <w:lang w:val="sr-Cyrl-CS"/>
        </w:rPr>
        <w:t xml:space="preserve"> покретне имовине </w:t>
      </w:r>
      <w:r w:rsidRPr="004F5420">
        <w:rPr>
          <w:b/>
          <w:sz w:val="22"/>
          <w:szCs w:val="22"/>
          <w:lang w:val="sr-Cyrl-CS"/>
        </w:rPr>
        <w:br/>
        <w:t>методом ЈАВНОГ ПРИКУПЉАЊА ПОНУДА</w:t>
      </w:r>
    </w:p>
    <w:p w:rsidR="00B906DF" w:rsidRPr="004F5420" w:rsidRDefault="00B906DF" w:rsidP="00D50223">
      <w:pPr>
        <w:jc w:val="center"/>
        <w:rPr>
          <w:b/>
          <w:sz w:val="22"/>
          <w:szCs w:val="22"/>
          <w:lang w:val="sr-Cyrl-CS"/>
        </w:rPr>
      </w:pPr>
    </w:p>
    <w:p w:rsidR="003204A8" w:rsidRPr="004F5420" w:rsidRDefault="003204A8" w:rsidP="00D50223">
      <w:pPr>
        <w:jc w:val="center"/>
        <w:rPr>
          <w:b/>
          <w:sz w:val="22"/>
          <w:szCs w:val="22"/>
          <w:lang w:val="sr-Cyrl-CS"/>
        </w:rPr>
      </w:pPr>
    </w:p>
    <w:p w:rsidR="00B906DF" w:rsidRPr="00A164D6" w:rsidRDefault="00B906DF" w:rsidP="00D50223">
      <w:pPr>
        <w:spacing w:after="240"/>
        <w:jc w:val="both"/>
        <w:rPr>
          <w:sz w:val="22"/>
          <w:szCs w:val="22"/>
          <w:lang w:val="sr-Cyrl-CS"/>
        </w:rPr>
      </w:pPr>
      <w:r w:rsidRPr="004F5420">
        <w:rPr>
          <w:sz w:val="22"/>
          <w:szCs w:val="22"/>
          <w:lang w:val="sr-Cyrl-CS"/>
        </w:rPr>
        <w:t xml:space="preserve">Предмет продаје је следећа </w:t>
      </w:r>
      <w:r w:rsidRPr="004F5420">
        <w:rPr>
          <w:sz w:val="22"/>
          <w:szCs w:val="22"/>
          <w:shd w:val="clear" w:color="auto" w:fill="FFFFFF"/>
          <w:lang w:val="sr-Cyrl-CS"/>
        </w:rPr>
        <w:t>покретна имовина</w:t>
      </w:r>
      <w:r w:rsidR="00760A06" w:rsidRPr="004F5420">
        <w:rPr>
          <w:sz w:val="22"/>
          <w:szCs w:val="22"/>
          <w:shd w:val="clear" w:color="auto" w:fill="FFFFFF"/>
          <w:lang w:val="sr-Cyrl-CS"/>
        </w:rPr>
        <w:t xml:space="preserve">, </w:t>
      </w:r>
      <w:r w:rsidR="00760A06" w:rsidRPr="00A164D6">
        <w:rPr>
          <w:sz w:val="22"/>
          <w:szCs w:val="22"/>
          <w:shd w:val="clear" w:color="auto" w:fill="FFFFFF"/>
          <w:lang w:val="sr-Cyrl-CS"/>
        </w:rPr>
        <w:t>као имовинска целина</w:t>
      </w:r>
      <w:r w:rsidRPr="00A164D6">
        <w:rPr>
          <w:sz w:val="22"/>
          <w:szCs w:val="22"/>
          <w:lang w:val="sr-Cyrl-CS"/>
        </w:rPr>
        <w:t>:</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5242"/>
        <w:gridCol w:w="1560"/>
        <w:gridCol w:w="1558"/>
      </w:tblGrid>
      <w:tr w:rsidR="00760A06" w:rsidRPr="004F5420" w:rsidTr="00760A06">
        <w:trPr>
          <w:tblHeader/>
          <w:jc w:val="center"/>
        </w:trPr>
        <w:tc>
          <w:tcPr>
            <w:tcW w:w="3135" w:type="pct"/>
            <w:tcBorders>
              <w:top w:val="single" w:sz="4" w:space="0" w:color="auto"/>
              <w:left w:val="single" w:sz="4" w:space="0" w:color="auto"/>
              <w:right w:val="single" w:sz="4" w:space="0" w:color="auto"/>
            </w:tcBorders>
            <w:shd w:val="clear" w:color="auto" w:fill="F2F2F2"/>
            <w:vAlign w:val="center"/>
          </w:tcPr>
          <w:p w:rsidR="00760A06" w:rsidRPr="004F5420" w:rsidRDefault="00760A06" w:rsidP="00D50223">
            <w:pPr>
              <w:jc w:val="center"/>
              <w:rPr>
                <w:sz w:val="22"/>
                <w:szCs w:val="22"/>
                <w:lang w:val="sr-Cyrl-CS"/>
              </w:rPr>
            </w:pPr>
            <w:r w:rsidRPr="004F5420">
              <w:rPr>
                <w:sz w:val="22"/>
                <w:szCs w:val="22"/>
                <w:lang w:val="sr-Cyrl-CS"/>
              </w:rPr>
              <w:t>Предмет продаје</w:t>
            </w:r>
            <w:r w:rsidRPr="004F5420">
              <w:rPr>
                <w:sz w:val="22"/>
                <w:szCs w:val="22"/>
                <w:lang w:val="sr-Cyrl-CS"/>
              </w:rPr>
              <w:br/>
            </w:r>
            <w:r w:rsidRPr="00A164D6">
              <w:rPr>
                <w:sz w:val="22"/>
                <w:szCs w:val="22"/>
                <w:lang w:val="sr-Cyrl-CS"/>
              </w:rPr>
              <w:t>(имовинска целина)</w:t>
            </w:r>
          </w:p>
        </w:tc>
        <w:tc>
          <w:tcPr>
            <w:tcW w:w="933" w:type="pct"/>
            <w:tcBorders>
              <w:top w:val="single" w:sz="4" w:space="0" w:color="auto"/>
              <w:left w:val="single" w:sz="4" w:space="0" w:color="auto"/>
              <w:right w:val="single" w:sz="4" w:space="0" w:color="auto"/>
            </w:tcBorders>
            <w:shd w:val="clear" w:color="auto" w:fill="F2F2F2"/>
            <w:vAlign w:val="center"/>
          </w:tcPr>
          <w:p w:rsidR="00760A06" w:rsidRPr="004F5420" w:rsidRDefault="00760A06" w:rsidP="00D50223">
            <w:pPr>
              <w:jc w:val="center"/>
              <w:rPr>
                <w:sz w:val="22"/>
                <w:szCs w:val="22"/>
                <w:lang w:val="sr-Cyrl-CS"/>
              </w:rPr>
            </w:pPr>
            <w:r w:rsidRPr="004F5420">
              <w:rPr>
                <w:sz w:val="22"/>
                <w:szCs w:val="22"/>
                <w:lang w:val="sr-Cyrl-CS"/>
              </w:rPr>
              <w:t>Процењена вредност</w:t>
            </w:r>
            <w:r w:rsidR="00AF34F9" w:rsidRPr="004F5420">
              <w:rPr>
                <w:sz w:val="22"/>
                <w:szCs w:val="22"/>
                <w:lang w:val="sr-Cyrl-CS"/>
              </w:rPr>
              <w:br/>
            </w:r>
            <w:r w:rsidR="00AF34F9" w:rsidRPr="00A164D6">
              <w:rPr>
                <w:sz w:val="22"/>
                <w:szCs w:val="22"/>
                <w:lang w:val="sr-Cyrl-CS"/>
              </w:rPr>
              <w:t>(</w:t>
            </w:r>
            <w:r w:rsidRPr="00A164D6">
              <w:rPr>
                <w:sz w:val="22"/>
                <w:szCs w:val="22"/>
                <w:lang w:val="sr-Cyrl-CS"/>
              </w:rPr>
              <w:t>дин</w:t>
            </w:r>
            <w:r w:rsidR="00AF34F9" w:rsidRPr="00A164D6">
              <w:rPr>
                <w:sz w:val="22"/>
                <w:szCs w:val="22"/>
                <w:lang w:val="sr-Cyrl-CS"/>
              </w:rPr>
              <w:t>.)</w:t>
            </w:r>
          </w:p>
        </w:tc>
        <w:tc>
          <w:tcPr>
            <w:tcW w:w="933" w:type="pct"/>
            <w:tcBorders>
              <w:top w:val="single" w:sz="4" w:space="0" w:color="auto"/>
              <w:left w:val="single" w:sz="4" w:space="0" w:color="auto"/>
              <w:right w:val="single" w:sz="4" w:space="0" w:color="auto"/>
            </w:tcBorders>
            <w:shd w:val="clear" w:color="auto" w:fill="F2F2F2"/>
            <w:vAlign w:val="center"/>
          </w:tcPr>
          <w:p w:rsidR="00760A06" w:rsidRPr="004F5420" w:rsidRDefault="00760A06" w:rsidP="00D50223">
            <w:pPr>
              <w:jc w:val="center"/>
              <w:rPr>
                <w:sz w:val="22"/>
                <w:szCs w:val="22"/>
                <w:lang w:val="sr-Cyrl-CS"/>
              </w:rPr>
            </w:pPr>
            <w:r w:rsidRPr="004F5420">
              <w:rPr>
                <w:sz w:val="22"/>
                <w:szCs w:val="22"/>
                <w:lang w:val="sr-Cyrl-CS"/>
              </w:rPr>
              <w:t>Депозит</w:t>
            </w:r>
            <w:r w:rsidR="00AF34F9" w:rsidRPr="00A164D6">
              <w:rPr>
                <w:sz w:val="22"/>
                <w:szCs w:val="22"/>
                <w:lang w:val="sr-Cyrl-CS"/>
              </w:rPr>
              <w:t>(</w:t>
            </w:r>
            <w:r w:rsidRPr="00A164D6">
              <w:rPr>
                <w:sz w:val="22"/>
                <w:szCs w:val="22"/>
                <w:lang w:val="sr-Cyrl-CS"/>
              </w:rPr>
              <w:t>дин</w:t>
            </w:r>
            <w:r w:rsidR="00AF34F9" w:rsidRPr="00A164D6">
              <w:rPr>
                <w:sz w:val="22"/>
                <w:szCs w:val="22"/>
                <w:lang w:val="sr-Cyrl-CS"/>
              </w:rPr>
              <w:t>.)</w:t>
            </w:r>
          </w:p>
        </w:tc>
      </w:tr>
      <w:tr w:rsidR="00760A06" w:rsidRPr="004F5420" w:rsidTr="00760A06">
        <w:trPr>
          <w:jc w:val="center"/>
        </w:trPr>
        <w:tc>
          <w:tcPr>
            <w:tcW w:w="3135" w:type="pct"/>
            <w:tcBorders>
              <w:top w:val="double" w:sz="4" w:space="0" w:color="auto"/>
            </w:tcBorders>
          </w:tcPr>
          <w:p w:rsidR="00760A06" w:rsidRPr="00A164D6" w:rsidRDefault="00760A06" w:rsidP="00D50223">
            <w:pPr>
              <w:rPr>
                <w:sz w:val="22"/>
                <w:szCs w:val="22"/>
                <w:lang w:val="sr-Cyrl-CS"/>
              </w:rPr>
            </w:pPr>
            <w:r w:rsidRPr="00A164D6">
              <w:rPr>
                <w:sz w:val="22"/>
                <w:szCs w:val="22"/>
                <w:lang w:val="sr-Cyrl-CS"/>
              </w:rPr>
              <w:t>Oпрема за обављање послова дигиталног архивирања, професионалног скенирања и израде пробног отиска, коју чине</w:t>
            </w:r>
            <w:r w:rsidR="002E525C" w:rsidRPr="00A164D6">
              <w:rPr>
                <w:sz w:val="22"/>
                <w:szCs w:val="22"/>
                <w:lang w:val="sr-Cyrl-CS"/>
              </w:rPr>
              <w:t>:</w:t>
            </w:r>
          </w:p>
          <w:p w:rsidR="00760A06" w:rsidRPr="00A164D6" w:rsidRDefault="00760A06" w:rsidP="00D50223">
            <w:pPr>
              <w:pStyle w:val="ListParagraph"/>
              <w:numPr>
                <w:ilvl w:val="0"/>
                <w:numId w:val="9"/>
              </w:numPr>
              <w:ind w:left="284" w:hanging="284"/>
              <w:contextualSpacing w:val="0"/>
              <w:rPr>
                <w:sz w:val="22"/>
                <w:szCs w:val="22"/>
                <w:lang w:val="sr-Cyrl-CS"/>
              </w:rPr>
            </w:pPr>
            <w:r w:rsidRPr="00A164D6">
              <w:rPr>
                <w:sz w:val="22"/>
                <w:szCs w:val="22"/>
                <w:lang w:val="sr-Cyrl-CS"/>
              </w:rPr>
              <w:t>Howtek ScanMaster D4000</w:t>
            </w:r>
          </w:p>
          <w:p w:rsidR="00760A06" w:rsidRPr="00A164D6" w:rsidRDefault="00760A06" w:rsidP="00D50223">
            <w:pPr>
              <w:pStyle w:val="ListParagraph"/>
              <w:numPr>
                <w:ilvl w:val="0"/>
                <w:numId w:val="9"/>
              </w:numPr>
              <w:ind w:left="284" w:hanging="284"/>
              <w:contextualSpacing w:val="0"/>
              <w:rPr>
                <w:sz w:val="22"/>
                <w:szCs w:val="22"/>
                <w:lang w:val="sr-Cyrl-CS"/>
              </w:rPr>
            </w:pPr>
            <w:r w:rsidRPr="00A164D6">
              <w:rPr>
                <w:sz w:val="22"/>
                <w:szCs w:val="22"/>
                <w:lang w:val="sr-Cyrl-CS"/>
              </w:rPr>
              <w:t>Howtek D 4000-02</w:t>
            </w:r>
          </w:p>
          <w:p w:rsidR="00760A06" w:rsidRPr="00A164D6" w:rsidRDefault="00760A06" w:rsidP="00D50223">
            <w:pPr>
              <w:pStyle w:val="ListParagraph"/>
              <w:numPr>
                <w:ilvl w:val="0"/>
                <w:numId w:val="9"/>
              </w:numPr>
              <w:ind w:left="284" w:hanging="284"/>
              <w:contextualSpacing w:val="0"/>
              <w:rPr>
                <w:sz w:val="22"/>
                <w:szCs w:val="22"/>
                <w:lang w:val="sr-Cyrl-CS"/>
              </w:rPr>
            </w:pPr>
            <w:r w:rsidRPr="00A164D6">
              <w:rPr>
                <w:sz w:val="22"/>
                <w:szCs w:val="22"/>
                <w:lang w:val="sr-Cyrl-CS"/>
              </w:rPr>
              <w:t>LeafScan 45</w:t>
            </w:r>
          </w:p>
          <w:p w:rsidR="00760A06" w:rsidRPr="00A164D6" w:rsidRDefault="00760A06" w:rsidP="00D50223">
            <w:pPr>
              <w:pStyle w:val="ListParagraph"/>
              <w:numPr>
                <w:ilvl w:val="0"/>
                <w:numId w:val="9"/>
              </w:numPr>
              <w:ind w:left="284" w:hanging="284"/>
              <w:contextualSpacing w:val="0"/>
              <w:rPr>
                <w:sz w:val="22"/>
                <w:szCs w:val="22"/>
                <w:lang w:val="sr-Cyrl-CS"/>
              </w:rPr>
            </w:pPr>
            <w:r w:rsidRPr="00A164D6">
              <w:rPr>
                <w:sz w:val="22"/>
                <w:szCs w:val="22"/>
                <w:lang w:val="sr-Cyrl-CS"/>
              </w:rPr>
              <w:t>Scitex Smart skener</w:t>
            </w:r>
          </w:p>
          <w:p w:rsidR="00760A06" w:rsidRPr="00A164D6" w:rsidRDefault="00760A06" w:rsidP="00D50223">
            <w:pPr>
              <w:pStyle w:val="ListParagraph"/>
              <w:numPr>
                <w:ilvl w:val="0"/>
                <w:numId w:val="9"/>
              </w:numPr>
              <w:ind w:left="284" w:hanging="284"/>
              <w:contextualSpacing w:val="0"/>
              <w:rPr>
                <w:sz w:val="22"/>
                <w:szCs w:val="22"/>
                <w:lang w:val="sr-Cyrl-CS"/>
              </w:rPr>
            </w:pPr>
            <w:r w:rsidRPr="00A164D6">
              <w:rPr>
                <w:sz w:val="22"/>
                <w:szCs w:val="22"/>
                <w:lang w:val="sr-Cyrl-CS"/>
              </w:rPr>
              <w:t xml:space="preserve">Scitex </w:t>
            </w:r>
            <w:r w:rsidR="00A164D6" w:rsidRPr="00A164D6">
              <w:rPr>
                <w:sz w:val="22"/>
                <w:szCs w:val="22"/>
                <w:lang w:val="sr-Cyrl-CS"/>
              </w:rPr>
              <w:t>Iris</w:t>
            </w:r>
            <w:r w:rsidRPr="00A164D6">
              <w:rPr>
                <w:sz w:val="22"/>
                <w:szCs w:val="22"/>
                <w:lang w:val="sr-Cyrl-CS"/>
              </w:rPr>
              <w:t xml:space="preserve"> model 5015fx</w:t>
            </w:r>
          </w:p>
          <w:p w:rsidR="00760A06" w:rsidRPr="00A164D6" w:rsidRDefault="00760A06" w:rsidP="00D50223">
            <w:pPr>
              <w:pStyle w:val="ListParagraph"/>
              <w:numPr>
                <w:ilvl w:val="0"/>
                <w:numId w:val="9"/>
              </w:numPr>
              <w:ind w:left="284" w:hanging="284"/>
              <w:contextualSpacing w:val="0"/>
              <w:rPr>
                <w:sz w:val="22"/>
                <w:szCs w:val="22"/>
                <w:lang w:val="sr-Cyrl-CS"/>
              </w:rPr>
            </w:pPr>
            <w:r w:rsidRPr="00A164D6">
              <w:rPr>
                <w:sz w:val="22"/>
                <w:szCs w:val="22"/>
                <w:lang w:val="sr-Cyrl-CS"/>
              </w:rPr>
              <w:t>пратеће радне станице Power Macintosh G3</w:t>
            </w:r>
          </w:p>
          <w:p w:rsidR="00760A06" w:rsidRPr="00A164D6" w:rsidRDefault="00760A06" w:rsidP="00D50223">
            <w:pPr>
              <w:pStyle w:val="ListParagraph"/>
              <w:numPr>
                <w:ilvl w:val="0"/>
                <w:numId w:val="9"/>
              </w:numPr>
              <w:ind w:left="284" w:hanging="284"/>
              <w:contextualSpacing w:val="0"/>
              <w:rPr>
                <w:sz w:val="22"/>
                <w:szCs w:val="22"/>
                <w:lang w:val="sr-Cyrl-CS"/>
              </w:rPr>
            </w:pPr>
            <w:r w:rsidRPr="00A164D6">
              <w:rPr>
                <w:sz w:val="22"/>
                <w:szCs w:val="22"/>
                <w:lang w:val="sr-Cyrl-CS"/>
              </w:rPr>
              <w:t>пратећи софтвер, тастатуре, миш и документација</w:t>
            </w:r>
          </w:p>
        </w:tc>
        <w:tc>
          <w:tcPr>
            <w:tcW w:w="933" w:type="pct"/>
            <w:tcBorders>
              <w:top w:val="double" w:sz="4" w:space="0" w:color="auto"/>
            </w:tcBorders>
            <w:shd w:val="clear" w:color="auto" w:fill="FFFFFF"/>
            <w:vAlign w:val="center"/>
          </w:tcPr>
          <w:p w:rsidR="00760A06" w:rsidRPr="004F5420" w:rsidRDefault="00760A06" w:rsidP="00D50223">
            <w:pPr>
              <w:jc w:val="right"/>
              <w:rPr>
                <w:b/>
                <w:sz w:val="22"/>
                <w:szCs w:val="22"/>
                <w:lang w:val="sr-Cyrl-CS"/>
              </w:rPr>
            </w:pPr>
            <w:r w:rsidRPr="004F5420">
              <w:rPr>
                <w:sz w:val="22"/>
                <w:szCs w:val="22"/>
                <w:lang w:val="sr-Cyrl-CS"/>
              </w:rPr>
              <w:t>396.000,00</w:t>
            </w:r>
          </w:p>
        </w:tc>
        <w:tc>
          <w:tcPr>
            <w:tcW w:w="933" w:type="pct"/>
            <w:tcBorders>
              <w:top w:val="double" w:sz="4" w:space="0" w:color="auto"/>
            </w:tcBorders>
            <w:shd w:val="clear" w:color="auto" w:fill="FFFFFF"/>
            <w:vAlign w:val="center"/>
          </w:tcPr>
          <w:p w:rsidR="00760A06" w:rsidRPr="004F5420" w:rsidRDefault="00760A06" w:rsidP="00D50223">
            <w:pPr>
              <w:jc w:val="right"/>
              <w:rPr>
                <w:sz w:val="22"/>
                <w:szCs w:val="22"/>
                <w:lang w:val="sr-Cyrl-CS"/>
              </w:rPr>
            </w:pPr>
            <w:r w:rsidRPr="004F5420">
              <w:rPr>
                <w:sz w:val="22"/>
                <w:szCs w:val="22"/>
                <w:lang w:val="sr-Cyrl-CS"/>
              </w:rPr>
              <w:t>79.200,00</w:t>
            </w:r>
          </w:p>
        </w:tc>
      </w:tr>
    </w:tbl>
    <w:p w:rsidR="00FC6514" w:rsidRPr="004F5420" w:rsidRDefault="00FC6514" w:rsidP="00D50223">
      <w:pPr>
        <w:jc w:val="both"/>
        <w:rPr>
          <w:color w:val="FF0000"/>
          <w:sz w:val="22"/>
          <w:szCs w:val="22"/>
          <w:lang w:val="sr-Cyrl-CS"/>
        </w:rPr>
      </w:pPr>
    </w:p>
    <w:p w:rsidR="00AD0F08" w:rsidRPr="004F5420" w:rsidRDefault="005248B7" w:rsidP="00D50223">
      <w:pPr>
        <w:spacing w:before="120"/>
        <w:jc w:val="both"/>
        <w:rPr>
          <w:sz w:val="22"/>
          <w:szCs w:val="22"/>
          <w:lang w:val="sr-Cyrl-CS"/>
        </w:rPr>
      </w:pPr>
      <w:r w:rsidRPr="004F5420">
        <w:rPr>
          <w:color w:val="000000"/>
          <w:sz w:val="22"/>
          <w:szCs w:val="22"/>
          <w:shd w:val="clear" w:color="auto" w:fill="FFFFFF"/>
          <w:lang w:val="sr-Cyrl-CS"/>
        </w:rPr>
        <w:t>П</w:t>
      </w:r>
      <w:r w:rsidR="00AD0F08" w:rsidRPr="004F5420">
        <w:rPr>
          <w:color w:val="000000"/>
          <w:sz w:val="22"/>
          <w:szCs w:val="22"/>
          <w:shd w:val="clear" w:color="auto" w:fill="FFFFFF"/>
          <w:lang w:val="sr-Cyrl-CS"/>
        </w:rPr>
        <w:t xml:space="preserve">роцењена вредност </w:t>
      </w:r>
      <w:r w:rsidRPr="004F5420">
        <w:rPr>
          <w:color w:val="000000"/>
          <w:sz w:val="22"/>
          <w:szCs w:val="22"/>
          <w:shd w:val="clear" w:color="auto" w:fill="FFFFFF"/>
          <w:lang w:val="sr-Cyrl-CS"/>
        </w:rPr>
        <w:t xml:space="preserve">имовине </w:t>
      </w:r>
      <w:r w:rsidR="00AD0F08" w:rsidRPr="004F5420">
        <w:rPr>
          <w:color w:val="000000"/>
          <w:sz w:val="22"/>
          <w:szCs w:val="22"/>
          <w:shd w:val="clear" w:color="auto" w:fill="FFFFFF"/>
          <w:lang w:val="sr-Cyrl-CS"/>
        </w:rPr>
        <w:t xml:space="preserve">није минимално прихватљива вредност, нити је на било </w:t>
      </w:r>
      <w:r w:rsidR="00AD0F08" w:rsidRPr="004F5420">
        <w:rPr>
          <w:sz w:val="22"/>
          <w:szCs w:val="22"/>
          <w:shd w:val="clear" w:color="auto" w:fill="FFFFFF"/>
          <w:lang w:val="sr-Cyrl-CS"/>
        </w:rPr>
        <w:t>који други начин обавезујућа или опредељујућа за понуђача приликом одређивања висине понуде</w:t>
      </w:r>
      <w:r w:rsidR="00D50223" w:rsidRPr="004F5420">
        <w:rPr>
          <w:sz w:val="22"/>
          <w:szCs w:val="22"/>
          <w:shd w:val="clear" w:color="auto" w:fill="FFFFFF"/>
          <w:lang w:val="sr-Cyrl-CS"/>
        </w:rPr>
        <w:t>.</w:t>
      </w:r>
    </w:p>
    <w:p w:rsidR="005248B7" w:rsidRPr="004F5420" w:rsidRDefault="005248B7" w:rsidP="00D50223">
      <w:pPr>
        <w:jc w:val="both"/>
        <w:rPr>
          <w:sz w:val="22"/>
          <w:szCs w:val="22"/>
          <w:lang w:val="sr-Cyrl-CS"/>
        </w:rPr>
      </w:pPr>
    </w:p>
    <w:p w:rsidR="00B906DF" w:rsidRPr="004F5420" w:rsidRDefault="00B906DF" w:rsidP="00D50223">
      <w:pPr>
        <w:jc w:val="both"/>
        <w:rPr>
          <w:sz w:val="22"/>
          <w:szCs w:val="22"/>
          <w:lang w:val="sr-Cyrl-CS"/>
        </w:rPr>
      </w:pPr>
      <w:r w:rsidRPr="004F5420">
        <w:rPr>
          <w:sz w:val="22"/>
          <w:szCs w:val="22"/>
          <w:lang w:val="sr-Cyrl-CS"/>
        </w:rPr>
        <w:t>Право на учешће у поступку продаје имају сва правна и физичка лица која:</w:t>
      </w:r>
    </w:p>
    <w:p w:rsidR="00881977" w:rsidRPr="004F5420" w:rsidRDefault="00881977" w:rsidP="00D50223">
      <w:pPr>
        <w:numPr>
          <w:ilvl w:val="0"/>
          <w:numId w:val="8"/>
        </w:numPr>
        <w:spacing w:before="60"/>
        <w:ind w:left="714" w:hanging="357"/>
        <w:jc w:val="both"/>
        <w:rPr>
          <w:sz w:val="22"/>
          <w:szCs w:val="22"/>
          <w:lang w:val="sr-Cyrl-CS"/>
        </w:rPr>
      </w:pPr>
      <w:r w:rsidRPr="004F5420">
        <w:rPr>
          <w:sz w:val="22"/>
          <w:szCs w:val="22"/>
          <w:lang w:val="sr-Cyrl-CS"/>
        </w:rPr>
        <w:t xml:space="preserve">након преузимања </w:t>
      </w:r>
      <w:r w:rsidR="00D8717D" w:rsidRPr="004F5420">
        <w:rPr>
          <w:sz w:val="22"/>
          <w:szCs w:val="22"/>
          <w:lang w:val="sr-Cyrl-CS"/>
        </w:rPr>
        <w:t>предрачуна</w:t>
      </w:r>
      <w:r w:rsidRPr="004F5420">
        <w:rPr>
          <w:sz w:val="22"/>
          <w:szCs w:val="22"/>
          <w:lang w:val="sr-Cyrl-CS"/>
        </w:rPr>
        <w:t xml:space="preserve"> изврше уплату ради откупа </w:t>
      </w:r>
      <w:r w:rsidRPr="004F5420">
        <w:rPr>
          <w:b/>
          <w:sz w:val="22"/>
          <w:szCs w:val="22"/>
          <w:lang w:val="sr-Cyrl-CS"/>
        </w:rPr>
        <w:t>продајне документације</w:t>
      </w:r>
      <w:r w:rsidR="00D8717D" w:rsidRPr="004F5420">
        <w:rPr>
          <w:sz w:val="22"/>
          <w:szCs w:val="22"/>
          <w:lang w:val="sr-Cyrl-CS"/>
        </w:rPr>
        <w:t xml:space="preserve"> у износу од </w:t>
      </w:r>
      <w:r w:rsidR="00B61337">
        <w:rPr>
          <w:b/>
          <w:sz w:val="22"/>
          <w:szCs w:val="22"/>
          <w:lang w:val="sr-Latn-CS"/>
        </w:rPr>
        <w:t>1</w:t>
      </w:r>
      <w:r w:rsidRPr="004F5420">
        <w:rPr>
          <w:b/>
          <w:sz w:val="22"/>
          <w:szCs w:val="22"/>
          <w:lang w:val="sr-Cyrl-CS"/>
        </w:rPr>
        <w:t>0.000,00 дин.</w:t>
      </w:r>
      <w:r w:rsidR="00117705">
        <w:rPr>
          <w:sz w:val="22"/>
          <w:szCs w:val="22"/>
          <w:lang w:val="sr-Cyrl-CS"/>
        </w:rPr>
        <w:t xml:space="preserve">увећано за ПДВ. </w:t>
      </w:r>
      <w:r w:rsidR="00D8717D" w:rsidRPr="004F5420">
        <w:rPr>
          <w:sz w:val="22"/>
          <w:szCs w:val="22"/>
          <w:lang w:val="sr-Cyrl-CS"/>
        </w:rPr>
        <w:t>Предрачун се може преузети сваког радног дана у периоду од 10:00 до 1</w:t>
      </w:r>
      <w:r w:rsidR="00E57BFA" w:rsidRPr="004F5420">
        <w:rPr>
          <w:sz w:val="22"/>
          <w:szCs w:val="22"/>
          <w:lang w:val="sr-Cyrl-CS"/>
        </w:rPr>
        <w:t>4</w:t>
      </w:r>
      <w:r w:rsidR="00D8717D" w:rsidRPr="004F5420">
        <w:rPr>
          <w:sz w:val="22"/>
          <w:szCs w:val="22"/>
          <w:lang w:val="sr-Cyrl-CS"/>
        </w:rPr>
        <w:t>:00 часова, у канцеларији стечајн</w:t>
      </w:r>
      <w:r w:rsidR="008E70E2" w:rsidRPr="004F5420">
        <w:rPr>
          <w:sz w:val="22"/>
          <w:szCs w:val="22"/>
          <w:lang w:val="sr-Cyrl-CS"/>
        </w:rPr>
        <w:t>ог управника</w:t>
      </w:r>
      <w:r w:rsidR="00D50223" w:rsidRPr="004F5420">
        <w:rPr>
          <w:sz w:val="22"/>
          <w:szCs w:val="22"/>
          <w:lang w:val="sr-Cyrl-CS"/>
        </w:rPr>
        <w:t>,</w:t>
      </w:r>
      <w:r w:rsidR="008E70E2" w:rsidRPr="004F5420">
        <w:rPr>
          <w:sz w:val="22"/>
          <w:szCs w:val="22"/>
          <w:lang w:val="sr-Cyrl-CS"/>
        </w:rPr>
        <w:t xml:space="preserve"> на адреси</w:t>
      </w:r>
      <w:r w:rsidR="00FB75E8" w:rsidRPr="004F5420">
        <w:rPr>
          <w:sz w:val="22"/>
          <w:szCs w:val="22"/>
          <w:lang w:val="sr-Cyrl-CS"/>
        </w:rPr>
        <w:t>:</w:t>
      </w:r>
      <w:r w:rsidR="008E70E2" w:rsidRPr="004F5420">
        <w:rPr>
          <w:sz w:val="22"/>
          <w:szCs w:val="22"/>
          <w:lang w:val="sr-Cyrl-CS"/>
        </w:rPr>
        <w:t xml:space="preserve"> Булевар к</w:t>
      </w:r>
      <w:r w:rsidR="00D8717D" w:rsidRPr="004F5420">
        <w:rPr>
          <w:sz w:val="22"/>
          <w:szCs w:val="22"/>
          <w:lang w:val="sr-Cyrl-CS"/>
        </w:rPr>
        <w:t>раља Александра бр. 17, улаз 2, стан 20, Београд, уз претходн</w:t>
      </w:r>
      <w:r w:rsidR="00BA63E0" w:rsidRPr="004F5420">
        <w:rPr>
          <w:sz w:val="22"/>
          <w:szCs w:val="22"/>
          <w:lang w:val="sr-Cyrl-CS"/>
        </w:rPr>
        <w:t>и договор са</w:t>
      </w:r>
      <w:r w:rsidR="00D8717D" w:rsidRPr="004F5420">
        <w:rPr>
          <w:sz w:val="22"/>
          <w:szCs w:val="22"/>
          <w:lang w:val="sr-Cyrl-CS"/>
        </w:rPr>
        <w:t xml:space="preserve"> стечајн</w:t>
      </w:r>
      <w:r w:rsidR="00BA63E0" w:rsidRPr="004F5420">
        <w:rPr>
          <w:sz w:val="22"/>
          <w:szCs w:val="22"/>
          <w:lang w:val="sr-Cyrl-CS"/>
        </w:rPr>
        <w:t>и</w:t>
      </w:r>
      <w:r w:rsidR="00D8717D" w:rsidRPr="004F5420">
        <w:rPr>
          <w:sz w:val="22"/>
          <w:szCs w:val="22"/>
          <w:lang w:val="sr-Cyrl-CS"/>
        </w:rPr>
        <w:t>м управник</w:t>
      </w:r>
      <w:r w:rsidR="00BA63E0" w:rsidRPr="004F5420">
        <w:rPr>
          <w:sz w:val="22"/>
          <w:szCs w:val="22"/>
          <w:lang w:val="sr-Cyrl-CS"/>
        </w:rPr>
        <w:t xml:space="preserve">ом, </w:t>
      </w:r>
      <w:r w:rsidRPr="004F5420">
        <w:rPr>
          <w:sz w:val="22"/>
          <w:szCs w:val="22"/>
          <w:lang w:val="sr-Cyrl-CS"/>
        </w:rPr>
        <w:t>или путем електронске поште на адрес</w:t>
      </w:r>
      <w:r w:rsidR="004D7DB5" w:rsidRPr="004F5420">
        <w:rPr>
          <w:sz w:val="22"/>
          <w:szCs w:val="22"/>
          <w:lang w:val="sr-Cyrl-CS"/>
        </w:rPr>
        <w:t>и</w:t>
      </w:r>
      <w:r w:rsidR="00FB75E8" w:rsidRPr="004F5420">
        <w:rPr>
          <w:sz w:val="22"/>
          <w:szCs w:val="22"/>
          <w:lang w:val="sr-Cyrl-CS"/>
        </w:rPr>
        <w:t>:</w:t>
      </w:r>
      <w:r w:rsidR="00AE5CE1" w:rsidRPr="004F5420">
        <w:rPr>
          <w:sz w:val="22"/>
          <w:szCs w:val="22"/>
          <w:lang w:val="sr-Cyrl-CS"/>
        </w:rPr>
        <w:t xml:space="preserve"> mlnkstc@gmail.com</w:t>
      </w:r>
      <w:r w:rsidRPr="004F5420">
        <w:rPr>
          <w:sz w:val="22"/>
          <w:szCs w:val="22"/>
          <w:lang w:val="sr-Cyrl-CS"/>
        </w:rPr>
        <w:t xml:space="preserve">.Крајњи рок за </w:t>
      </w:r>
      <w:r w:rsidR="00BA63E0" w:rsidRPr="004F5420">
        <w:rPr>
          <w:sz w:val="22"/>
          <w:szCs w:val="22"/>
          <w:lang w:val="sr-Cyrl-CS"/>
        </w:rPr>
        <w:t>откуп</w:t>
      </w:r>
      <w:r w:rsidRPr="004F5420">
        <w:rPr>
          <w:sz w:val="22"/>
          <w:szCs w:val="22"/>
          <w:lang w:val="sr-Cyrl-CS"/>
        </w:rPr>
        <w:t xml:space="preserve"> и преузимање продајне документације је </w:t>
      </w:r>
      <w:r w:rsidR="00BA63E0" w:rsidRPr="004F5420">
        <w:rPr>
          <w:b/>
          <w:bCs/>
          <w:sz w:val="22"/>
          <w:szCs w:val="22"/>
          <w:lang w:val="sr-Cyrl-CS"/>
        </w:rPr>
        <w:t>21</w:t>
      </w:r>
      <w:r w:rsidRPr="004F5420">
        <w:rPr>
          <w:b/>
          <w:bCs/>
          <w:sz w:val="22"/>
          <w:szCs w:val="22"/>
          <w:lang w:val="sr-Cyrl-CS"/>
        </w:rPr>
        <w:t>.0</w:t>
      </w:r>
      <w:r w:rsidR="00BA63E0" w:rsidRPr="004F5420">
        <w:rPr>
          <w:b/>
          <w:bCs/>
          <w:sz w:val="22"/>
          <w:szCs w:val="22"/>
          <w:lang w:val="sr-Cyrl-CS"/>
        </w:rPr>
        <w:t>6</w:t>
      </w:r>
      <w:r w:rsidRPr="004F5420">
        <w:rPr>
          <w:b/>
          <w:bCs/>
          <w:sz w:val="22"/>
          <w:szCs w:val="22"/>
          <w:lang w:val="sr-Cyrl-CS"/>
        </w:rPr>
        <w:t>.2021</w:t>
      </w:r>
      <w:r w:rsidRPr="004F5420">
        <w:rPr>
          <w:b/>
          <w:sz w:val="22"/>
          <w:szCs w:val="22"/>
          <w:lang w:val="sr-Cyrl-CS"/>
        </w:rPr>
        <w:t>.</w:t>
      </w:r>
      <w:r w:rsidR="00BA63E0" w:rsidRPr="004F5420">
        <w:rPr>
          <w:b/>
          <w:sz w:val="22"/>
          <w:szCs w:val="22"/>
          <w:lang w:val="sr-Cyrl-CS"/>
        </w:rPr>
        <w:t>год</w:t>
      </w:r>
      <w:r w:rsidR="00352247" w:rsidRPr="004F5420">
        <w:rPr>
          <w:b/>
          <w:sz w:val="22"/>
          <w:szCs w:val="22"/>
          <w:lang w:val="sr-Cyrl-CS"/>
        </w:rPr>
        <w:t>.</w:t>
      </w:r>
    </w:p>
    <w:p w:rsidR="00352247" w:rsidRPr="005501E1" w:rsidRDefault="00352247" w:rsidP="00D50223">
      <w:pPr>
        <w:pStyle w:val="ListParagraph"/>
        <w:numPr>
          <w:ilvl w:val="0"/>
          <w:numId w:val="8"/>
        </w:numPr>
        <w:spacing w:before="60"/>
        <w:contextualSpacing w:val="0"/>
        <w:jc w:val="both"/>
        <w:rPr>
          <w:sz w:val="22"/>
          <w:szCs w:val="22"/>
          <w:lang w:val="sr-Cyrl-CS"/>
        </w:rPr>
      </w:pPr>
      <w:r w:rsidRPr="005501E1">
        <w:rPr>
          <w:sz w:val="22"/>
          <w:szCs w:val="22"/>
          <w:lang w:val="sr-Cyrl-CS"/>
        </w:rPr>
        <w:t>положе</w:t>
      </w:r>
      <w:r w:rsidR="00B906DF" w:rsidRPr="005501E1">
        <w:rPr>
          <w:b/>
          <w:sz w:val="22"/>
          <w:szCs w:val="22"/>
          <w:lang w:val="sr-Cyrl-CS"/>
        </w:rPr>
        <w:t xml:space="preserve">депозит </w:t>
      </w:r>
      <w:r w:rsidR="00BA63E0" w:rsidRPr="005501E1">
        <w:rPr>
          <w:sz w:val="22"/>
          <w:szCs w:val="22"/>
          <w:lang w:val="sr-Cyrl-CS"/>
        </w:rPr>
        <w:t xml:space="preserve">у износу од </w:t>
      </w:r>
      <w:r w:rsidR="00BA63E0" w:rsidRPr="005501E1">
        <w:rPr>
          <w:b/>
          <w:sz w:val="22"/>
          <w:szCs w:val="22"/>
          <w:lang w:val="sr-Cyrl-CS"/>
        </w:rPr>
        <w:t>79.200,00 дин</w:t>
      </w:r>
      <w:r w:rsidRPr="005501E1">
        <w:rPr>
          <w:b/>
          <w:sz w:val="22"/>
          <w:szCs w:val="22"/>
          <w:lang w:val="sr-Cyrl-CS"/>
        </w:rPr>
        <w:t>.</w:t>
      </w:r>
      <w:r w:rsidR="00B906DF" w:rsidRPr="005501E1">
        <w:rPr>
          <w:sz w:val="22"/>
          <w:szCs w:val="22"/>
          <w:lang w:val="sr-Cyrl-CS"/>
        </w:rPr>
        <w:t xml:space="preserve">, </w:t>
      </w:r>
      <w:r w:rsidRPr="005501E1">
        <w:rPr>
          <w:sz w:val="22"/>
          <w:szCs w:val="22"/>
          <w:lang w:val="sr-Cyrl-CS"/>
        </w:rPr>
        <w:t xml:space="preserve">уплатом </w:t>
      </w:r>
      <w:r w:rsidR="00B906DF" w:rsidRPr="005501E1">
        <w:rPr>
          <w:sz w:val="22"/>
          <w:szCs w:val="22"/>
          <w:lang w:val="sr-Cyrl-CS"/>
        </w:rPr>
        <w:t xml:space="preserve">на текући рачун стечајног дужника </w:t>
      </w:r>
      <w:r w:rsidR="00B906DF" w:rsidRPr="005501E1">
        <w:rPr>
          <w:b/>
          <w:sz w:val="22"/>
          <w:szCs w:val="22"/>
          <w:lang w:val="sr-Cyrl-CS"/>
        </w:rPr>
        <w:t xml:space="preserve">бр. </w:t>
      </w:r>
      <w:r w:rsidR="00BA63E0" w:rsidRPr="005501E1">
        <w:rPr>
          <w:b/>
          <w:sz w:val="22"/>
          <w:szCs w:val="22"/>
          <w:lang w:val="sr-Cyrl-CS" w:eastAsia="sr-Latn-CS"/>
        </w:rPr>
        <w:t>205-263984-44</w:t>
      </w:r>
      <w:r w:rsidR="00B906DF" w:rsidRPr="005501E1">
        <w:rPr>
          <w:sz w:val="22"/>
          <w:szCs w:val="22"/>
          <w:lang w:val="sr-Cyrl-CS"/>
        </w:rPr>
        <w:t>код Комерцијалнe банкe а.д.</w:t>
      </w:r>
      <w:r w:rsidRPr="005501E1">
        <w:rPr>
          <w:sz w:val="22"/>
          <w:szCs w:val="22"/>
          <w:lang w:val="sr-Cyrl-CS"/>
        </w:rPr>
        <w:t xml:space="preserve"> Београд</w:t>
      </w:r>
      <w:r w:rsidR="00B906DF" w:rsidRPr="005501E1">
        <w:rPr>
          <w:sz w:val="22"/>
          <w:szCs w:val="22"/>
          <w:lang w:val="sr-Cyrl-CS"/>
        </w:rPr>
        <w:t>, или пол</w:t>
      </w:r>
      <w:r w:rsidRPr="005501E1">
        <w:rPr>
          <w:sz w:val="22"/>
          <w:szCs w:val="22"/>
          <w:lang w:val="sr-Cyrl-CS"/>
        </w:rPr>
        <w:t>агањем</w:t>
      </w:r>
      <w:r w:rsidR="00B906DF" w:rsidRPr="005501E1">
        <w:rPr>
          <w:sz w:val="22"/>
          <w:szCs w:val="22"/>
          <w:lang w:val="sr-Cyrl-CS"/>
        </w:rPr>
        <w:t xml:space="preserve"> неопозив</w:t>
      </w:r>
      <w:r w:rsidRPr="005501E1">
        <w:rPr>
          <w:sz w:val="22"/>
          <w:szCs w:val="22"/>
          <w:lang w:val="sr-Cyrl-CS"/>
        </w:rPr>
        <w:t>е</w:t>
      </w:r>
      <w:r w:rsidR="00B906DF" w:rsidRPr="005501E1">
        <w:rPr>
          <w:sz w:val="22"/>
          <w:szCs w:val="22"/>
          <w:lang w:val="sr-Cyrl-CS"/>
        </w:rPr>
        <w:t xml:space="preserve"> првокласн</w:t>
      </w:r>
      <w:r w:rsidRPr="005501E1">
        <w:rPr>
          <w:sz w:val="22"/>
          <w:szCs w:val="22"/>
          <w:lang w:val="sr-Cyrl-CS"/>
        </w:rPr>
        <w:t>е</w:t>
      </w:r>
      <w:r w:rsidR="00B906DF" w:rsidRPr="005501E1">
        <w:rPr>
          <w:sz w:val="22"/>
          <w:szCs w:val="22"/>
          <w:lang w:val="sr-Cyrl-CS"/>
        </w:rPr>
        <w:t xml:space="preserve"> банкарск</w:t>
      </w:r>
      <w:r w:rsidRPr="005501E1">
        <w:rPr>
          <w:sz w:val="22"/>
          <w:szCs w:val="22"/>
          <w:lang w:val="sr-Cyrl-CS"/>
        </w:rPr>
        <w:t>е</w:t>
      </w:r>
      <w:r w:rsidR="00B906DF" w:rsidRPr="005501E1">
        <w:rPr>
          <w:sz w:val="22"/>
          <w:szCs w:val="22"/>
          <w:lang w:val="sr-Cyrl-CS"/>
        </w:rPr>
        <w:t xml:space="preserve"> гаранциј</w:t>
      </w:r>
      <w:r w:rsidRPr="005501E1">
        <w:rPr>
          <w:sz w:val="22"/>
          <w:szCs w:val="22"/>
          <w:lang w:val="sr-Cyrl-CS"/>
        </w:rPr>
        <w:t>е</w:t>
      </w:r>
      <w:r w:rsidR="00B906DF" w:rsidRPr="005501E1">
        <w:rPr>
          <w:sz w:val="22"/>
          <w:szCs w:val="22"/>
          <w:lang w:val="sr-Cyrl-CS"/>
        </w:rPr>
        <w:t xml:space="preserve"> наплатив</w:t>
      </w:r>
      <w:r w:rsidRPr="005501E1">
        <w:rPr>
          <w:sz w:val="22"/>
          <w:szCs w:val="22"/>
          <w:lang w:val="sr-Cyrl-CS"/>
        </w:rPr>
        <w:t>е</w:t>
      </w:r>
      <w:r w:rsidR="00B906DF" w:rsidRPr="005501E1">
        <w:rPr>
          <w:sz w:val="22"/>
          <w:szCs w:val="22"/>
          <w:lang w:val="sr-Cyrl-CS"/>
        </w:rPr>
        <w:t xml:space="preserve"> на први позив, </w:t>
      </w:r>
      <w:r w:rsidRPr="005501E1">
        <w:rPr>
          <w:sz w:val="22"/>
          <w:szCs w:val="22"/>
          <w:lang w:val="sr-Cyrl-CS"/>
        </w:rPr>
        <w:t xml:space="preserve">најкасније на дан одржавања продаје </w:t>
      </w:r>
      <w:r w:rsidRPr="005501E1">
        <w:rPr>
          <w:b/>
          <w:sz w:val="22"/>
          <w:szCs w:val="22"/>
          <w:lang w:val="sr-Cyrl-CS"/>
        </w:rPr>
        <w:t>24.06.2021. год.</w:t>
      </w:r>
      <w:r w:rsidR="00FC46B5">
        <w:rPr>
          <w:b/>
          <w:sz w:val="22"/>
          <w:szCs w:val="22"/>
        </w:rPr>
        <w:t xml:space="preserve"> </w:t>
      </w:r>
      <w:r w:rsidR="00BE7ED8">
        <w:rPr>
          <w:sz w:val="22"/>
          <w:szCs w:val="22"/>
          <w:lang w:val="sr-Cyrl-CS"/>
        </w:rPr>
        <w:t xml:space="preserve">Гаранција мора имати рок важења до </w:t>
      </w:r>
      <w:r w:rsidR="00BE7ED8" w:rsidRPr="00BE7ED8">
        <w:rPr>
          <w:b/>
          <w:sz w:val="22"/>
          <w:szCs w:val="22"/>
          <w:lang w:val="sr-Cyrl-CS"/>
        </w:rPr>
        <w:t>24.08.2021. год.</w:t>
      </w:r>
      <w:r w:rsidR="00E440F6">
        <w:rPr>
          <w:b/>
          <w:sz w:val="22"/>
          <w:szCs w:val="22"/>
        </w:rPr>
        <w:t xml:space="preserve"> </w:t>
      </w:r>
      <w:r w:rsidRPr="005501E1">
        <w:rPr>
          <w:sz w:val="22"/>
          <w:szCs w:val="22"/>
          <w:lang w:val="sr-Cyrl-CS"/>
        </w:rPr>
        <w:t xml:space="preserve">Доказ о полагању депозита заинтересовани купци достављају стечајном управнику најкасније до рока за достављање понуда, тј. до </w:t>
      </w:r>
      <w:r w:rsidR="00AF34F9" w:rsidRPr="005501E1">
        <w:rPr>
          <w:b/>
          <w:sz w:val="22"/>
          <w:szCs w:val="22"/>
          <w:lang w:val="sr-Cyrl-CS"/>
        </w:rPr>
        <w:t>11:45</w:t>
      </w:r>
      <w:r w:rsidRPr="005501E1">
        <w:rPr>
          <w:b/>
          <w:sz w:val="22"/>
          <w:szCs w:val="22"/>
          <w:lang w:val="sr-Cyrl-CS"/>
        </w:rPr>
        <w:t xml:space="preserve"> часова 24.06.2021. год.</w:t>
      </w:r>
    </w:p>
    <w:p w:rsidR="00B906DF" w:rsidRPr="004F5420" w:rsidRDefault="00B906DF" w:rsidP="00D50223">
      <w:pPr>
        <w:pStyle w:val="ListParagraph"/>
        <w:numPr>
          <w:ilvl w:val="0"/>
          <w:numId w:val="8"/>
        </w:numPr>
        <w:spacing w:before="60"/>
        <w:contextualSpacing w:val="0"/>
        <w:jc w:val="both"/>
        <w:rPr>
          <w:sz w:val="22"/>
          <w:szCs w:val="22"/>
          <w:lang w:val="sr-Cyrl-CS"/>
        </w:rPr>
      </w:pPr>
      <w:r w:rsidRPr="004F5420">
        <w:rPr>
          <w:sz w:val="22"/>
          <w:szCs w:val="22"/>
          <w:lang w:val="sr-Cyrl-CS"/>
        </w:rPr>
        <w:t xml:space="preserve">потпишу </w:t>
      </w:r>
      <w:r w:rsidRPr="004F5420">
        <w:rPr>
          <w:b/>
          <w:sz w:val="22"/>
          <w:szCs w:val="22"/>
          <w:lang w:val="sr-Cyrl-CS"/>
        </w:rPr>
        <w:t>изјаву</w:t>
      </w:r>
      <w:r w:rsidRPr="004F5420">
        <w:rPr>
          <w:sz w:val="22"/>
          <w:szCs w:val="22"/>
          <w:lang w:val="sr-Cyrl-CS"/>
        </w:rPr>
        <w:t xml:space="preserve"> о губитку права на повраћај депозита. Изјава чини саставни део продајнедокументације.</w:t>
      </w:r>
    </w:p>
    <w:p w:rsidR="000515EF" w:rsidRPr="004F5420" w:rsidRDefault="000515EF" w:rsidP="00D50223">
      <w:pPr>
        <w:spacing w:before="120"/>
        <w:jc w:val="both"/>
        <w:rPr>
          <w:sz w:val="22"/>
          <w:szCs w:val="22"/>
          <w:lang w:val="sr-Cyrl-CS"/>
        </w:rPr>
      </w:pPr>
      <w:r w:rsidRPr="004F5420">
        <w:rPr>
          <w:sz w:val="22"/>
          <w:szCs w:val="22"/>
          <w:lang w:val="sr-Cyrl-CS"/>
        </w:rPr>
        <w:t>Имовина се купује у виђеном стању и може се разгледати након откупа продајне документације, сваким радним даном од 10</w:t>
      </w:r>
      <w:r w:rsidR="00CB1D7D" w:rsidRPr="004F5420">
        <w:rPr>
          <w:sz w:val="22"/>
          <w:szCs w:val="22"/>
          <w:lang w:val="sr-Cyrl-CS"/>
        </w:rPr>
        <w:t>:00</w:t>
      </w:r>
      <w:r w:rsidRPr="004F5420">
        <w:rPr>
          <w:sz w:val="22"/>
          <w:szCs w:val="22"/>
          <w:lang w:val="sr-Cyrl-CS"/>
        </w:rPr>
        <w:t xml:space="preserve"> до 14</w:t>
      </w:r>
      <w:r w:rsidR="00CB1D7D" w:rsidRPr="004F5420">
        <w:rPr>
          <w:sz w:val="22"/>
          <w:szCs w:val="22"/>
          <w:lang w:val="sr-Cyrl-CS"/>
        </w:rPr>
        <w:t>:00</w:t>
      </w:r>
      <w:r w:rsidRPr="004F5420">
        <w:rPr>
          <w:sz w:val="22"/>
          <w:szCs w:val="22"/>
          <w:lang w:val="sr-Cyrl-CS"/>
        </w:rPr>
        <w:t xml:space="preserve"> часова, а најкасније </w:t>
      </w:r>
      <w:r w:rsidR="00771DAF" w:rsidRPr="004F5420">
        <w:rPr>
          <w:b/>
          <w:sz w:val="22"/>
          <w:szCs w:val="22"/>
          <w:lang w:val="sr-Cyrl-CS"/>
        </w:rPr>
        <w:t>три</w:t>
      </w:r>
      <w:r w:rsidRPr="004F5420">
        <w:rPr>
          <w:b/>
          <w:sz w:val="22"/>
          <w:szCs w:val="22"/>
          <w:lang w:val="sr-Cyrl-CS"/>
        </w:rPr>
        <w:t xml:space="preserve"> дана</w:t>
      </w:r>
      <w:r w:rsidRPr="004F5420">
        <w:rPr>
          <w:sz w:val="22"/>
          <w:szCs w:val="22"/>
          <w:lang w:val="sr-Cyrl-CS"/>
        </w:rPr>
        <w:t xml:space="preserve"> пре </w:t>
      </w:r>
      <w:r w:rsidRPr="004F5420">
        <w:rPr>
          <w:sz w:val="22"/>
          <w:szCs w:val="22"/>
          <w:lang w:val="sr-Cyrl-CS"/>
        </w:rPr>
        <w:lastRenderedPageBreak/>
        <w:t xml:space="preserve">одржавања продаје, односно закључно са </w:t>
      </w:r>
      <w:r w:rsidRPr="004F5420">
        <w:rPr>
          <w:b/>
          <w:sz w:val="22"/>
          <w:szCs w:val="22"/>
          <w:lang w:val="sr-Cyrl-CS"/>
        </w:rPr>
        <w:t>21.06.2021. год.</w:t>
      </w:r>
      <w:r w:rsidRPr="004F5420">
        <w:rPr>
          <w:sz w:val="22"/>
          <w:szCs w:val="22"/>
          <w:lang w:val="sr-Cyrl-CS"/>
        </w:rPr>
        <w:t xml:space="preserve">, </w:t>
      </w:r>
      <w:r w:rsidR="00E57BFA" w:rsidRPr="004F5420">
        <w:rPr>
          <w:sz w:val="22"/>
          <w:szCs w:val="22"/>
          <w:lang w:val="sr-Cyrl-CS"/>
        </w:rPr>
        <w:t>на адреси</w:t>
      </w:r>
      <w:r w:rsidR="00FB75E8" w:rsidRPr="004F5420">
        <w:rPr>
          <w:sz w:val="22"/>
          <w:szCs w:val="22"/>
          <w:lang w:val="sr-Cyrl-CS"/>
        </w:rPr>
        <w:t>:</w:t>
      </w:r>
      <w:r w:rsidR="00081800" w:rsidRPr="004F5420">
        <w:rPr>
          <w:sz w:val="22"/>
          <w:szCs w:val="22"/>
          <w:lang w:val="sr-Cyrl-CS"/>
        </w:rPr>
        <w:t>Улица народних хероја бр. 43, Нови Београд</w:t>
      </w:r>
      <w:r w:rsidR="00E57BFA" w:rsidRPr="004F5420">
        <w:rPr>
          <w:sz w:val="22"/>
          <w:szCs w:val="22"/>
          <w:lang w:val="sr-Cyrl-CS"/>
        </w:rPr>
        <w:t xml:space="preserve">, </w:t>
      </w:r>
      <w:r w:rsidRPr="004F5420">
        <w:rPr>
          <w:sz w:val="22"/>
          <w:szCs w:val="22"/>
          <w:lang w:val="sr-Cyrl-CS"/>
        </w:rPr>
        <w:t>уз претходни договор са стeчајним управником.</w:t>
      </w:r>
    </w:p>
    <w:p w:rsidR="008E70E2" w:rsidRPr="004F5420" w:rsidRDefault="008E70E2" w:rsidP="00D50223">
      <w:pPr>
        <w:jc w:val="both"/>
        <w:rPr>
          <w:b/>
          <w:color w:val="FF0000"/>
          <w:sz w:val="22"/>
          <w:szCs w:val="22"/>
          <w:lang w:val="sr-Cyrl-CS"/>
        </w:rPr>
      </w:pPr>
    </w:p>
    <w:p w:rsidR="008E70E2" w:rsidRPr="005501E1" w:rsidRDefault="008E70E2" w:rsidP="00D50223">
      <w:pPr>
        <w:jc w:val="both"/>
        <w:rPr>
          <w:b/>
          <w:sz w:val="22"/>
          <w:szCs w:val="22"/>
          <w:lang w:val="sr-Cyrl-CS"/>
        </w:rPr>
      </w:pPr>
      <w:r w:rsidRPr="005501E1">
        <w:rPr>
          <w:sz w:val="22"/>
          <w:szCs w:val="22"/>
          <w:lang w:val="sr-Cyrl-CS"/>
        </w:rPr>
        <w:t>Све понуде се достављају у писаној форми, у запечаћеним</w:t>
      </w:r>
      <w:r w:rsidR="00AF34F9" w:rsidRPr="005501E1">
        <w:rPr>
          <w:sz w:val="22"/>
          <w:szCs w:val="22"/>
          <w:lang w:val="sr-Cyrl-CS"/>
        </w:rPr>
        <w:t>/затвореним</w:t>
      </w:r>
      <w:r w:rsidRPr="005501E1">
        <w:rPr>
          <w:sz w:val="22"/>
          <w:szCs w:val="22"/>
          <w:lang w:val="sr-Cyrl-CS"/>
        </w:rPr>
        <w:t xml:space="preserve"> ковертама уз назнаку да се понуда односи на продају имовине стечајног дужника NEW DEAL CTP &amp; PREPRESS EXPERTS д.о.о. Београд (Савски венац) у стечају. Стечајни управник на свакој коверти уписује тачно време пријема и издаје потврду потенцијалном купцу о пријему. Усмене понуде стечајни управник не узима у разматрање.</w:t>
      </w:r>
    </w:p>
    <w:p w:rsidR="00B906DF" w:rsidRPr="004F5420" w:rsidRDefault="00B906DF" w:rsidP="00D50223">
      <w:pPr>
        <w:pStyle w:val="ListParagraph"/>
        <w:ind w:left="0"/>
        <w:contextualSpacing w:val="0"/>
        <w:jc w:val="both"/>
        <w:rPr>
          <w:sz w:val="22"/>
          <w:szCs w:val="22"/>
          <w:lang w:val="sr-Cyrl-CS"/>
        </w:rPr>
      </w:pPr>
    </w:p>
    <w:p w:rsidR="00776D46" w:rsidRPr="004F5420" w:rsidRDefault="008E70E2" w:rsidP="00D50223">
      <w:pPr>
        <w:jc w:val="both"/>
        <w:rPr>
          <w:b/>
          <w:sz w:val="22"/>
          <w:szCs w:val="22"/>
          <w:lang w:val="sr-Cyrl-CS"/>
        </w:rPr>
      </w:pPr>
      <w:r w:rsidRPr="004F5420">
        <w:rPr>
          <w:b/>
          <w:sz w:val="22"/>
          <w:szCs w:val="22"/>
          <w:lang w:val="sr-Cyrl-CS"/>
        </w:rPr>
        <w:t>П</w:t>
      </w:r>
      <w:r w:rsidR="00776D46" w:rsidRPr="004F5420">
        <w:rPr>
          <w:b/>
          <w:sz w:val="22"/>
          <w:szCs w:val="22"/>
          <w:lang w:val="sr-Cyrl-CS"/>
        </w:rPr>
        <w:t xml:space="preserve">онуде </w:t>
      </w:r>
      <w:r w:rsidRPr="004F5420">
        <w:rPr>
          <w:b/>
          <w:sz w:val="22"/>
          <w:szCs w:val="22"/>
          <w:lang w:val="sr-Cyrl-CS"/>
        </w:rPr>
        <w:t xml:space="preserve">се </w:t>
      </w:r>
      <w:r w:rsidR="00776D46" w:rsidRPr="004F5420">
        <w:rPr>
          <w:b/>
          <w:sz w:val="22"/>
          <w:szCs w:val="22"/>
          <w:lang w:val="sr-Cyrl-CS"/>
        </w:rPr>
        <w:t>достављају искључиво лично/директно у канцеларији стечајног управника, на адреси</w:t>
      </w:r>
      <w:r w:rsidR="00BB5C13" w:rsidRPr="004F5420">
        <w:rPr>
          <w:b/>
          <w:sz w:val="22"/>
          <w:szCs w:val="22"/>
          <w:lang w:val="sr-Cyrl-CS"/>
        </w:rPr>
        <w:t>:</w:t>
      </w:r>
      <w:r w:rsidR="00776D46" w:rsidRPr="004F5420">
        <w:rPr>
          <w:b/>
          <w:sz w:val="22"/>
          <w:szCs w:val="22"/>
          <w:lang w:val="sr-Cyrl-CS"/>
        </w:rPr>
        <w:t xml:space="preserve"> Булевар </w:t>
      </w:r>
      <w:r w:rsidRPr="004F5420">
        <w:rPr>
          <w:b/>
          <w:sz w:val="22"/>
          <w:szCs w:val="22"/>
          <w:lang w:val="sr-Cyrl-CS"/>
        </w:rPr>
        <w:t>к</w:t>
      </w:r>
      <w:r w:rsidR="00776D46" w:rsidRPr="004F5420">
        <w:rPr>
          <w:b/>
          <w:sz w:val="22"/>
          <w:szCs w:val="22"/>
          <w:lang w:val="sr-Cyrl-CS"/>
        </w:rPr>
        <w:t xml:space="preserve">раља Александра бр. 17, улаз 2, стан 20, Београд.Крајњи рок за достављање понуда је 24.06.2021. год. до </w:t>
      </w:r>
      <w:r w:rsidR="0030289D" w:rsidRPr="004F5420">
        <w:rPr>
          <w:b/>
          <w:sz w:val="22"/>
          <w:szCs w:val="22"/>
          <w:lang w:val="sr-Cyrl-CS"/>
        </w:rPr>
        <w:t>11:45</w:t>
      </w:r>
      <w:r w:rsidR="00776D46" w:rsidRPr="004F5420">
        <w:rPr>
          <w:b/>
          <w:sz w:val="22"/>
          <w:szCs w:val="22"/>
          <w:lang w:val="sr-Cyrl-CS"/>
        </w:rPr>
        <w:t xml:space="preserve"> часова.</w:t>
      </w:r>
      <w:r w:rsidRPr="004F5420">
        <w:rPr>
          <w:bCs/>
          <w:sz w:val="22"/>
          <w:szCs w:val="22"/>
          <w:lang w:val="sr-Cyrl-CS"/>
        </w:rPr>
        <w:t xml:space="preserve">У разматрање ће се узети само понуде које </w:t>
      </w:r>
      <w:r w:rsidR="00081800" w:rsidRPr="004F5420">
        <w:rPr>
          <w:bCs/>
          <w:sz w:val="22"/>
          <w:szCs w:val="22"/>
          <w:lang w:val="sr-Cyrl-CS"/>
        </w:rPr>
        <w:t>буду достављене</w:t>
      </w:r>
      <w:r w:rsidRPr="004F5420">
        <w:rPr>
          <w:bCs/>
          <w:sz w:val="22"/>
          <w:szCs w:val="22"/>
          <w:lang w:val="sr-Cyrl-CS"/>
        </w:rPr>
        <w:t xml:space="preserve"> на назначену адресу до назначеног времена.</w:t>
      </w:r>
    </w:p>
    <w:p w:rsidR="00760A06" w:rsidRPr="004F5420" w:rsidRDefault="00760A06" w:rsidP="00D50223">
      <w:pPr>
        <w:jc w:val="both"/>
        <w:rPr>
          <w:bCs/>
          <w:color w:val="FF0000"/>
          <w:sz w:val="22"/>
          <w:szCs w:val="22"/>
          <w:lang w:val="sr-Cyrl-CS"/>
        </w:rPr>
      </w:pPr>
    </w:p>
    <w:p w:rsidR="00760A06" w:rsidRPr="005501E1" w:rsidRDefault="00760A06" w:rsidP="00D50223">
      <w:pPr>
        <w:jc w:val="both"/>
        <w:rPr>
          <w:bCs/>
          <w:sz w:val="22"/>
          <w:szCs w:val="22"/>
          <w:lang w:val="sr-Cyrl-CS"/>
        </w:rPr>
      </w:pPr>
      <w:r w:rsidRPr="005501E1">
        <w:rPr>
          <w:bCs/>
          <w:sz w:val="22"/>
          <w:szCs w:val="22"/>
          <w:lang w:val="sr-Cyrl-CS"/>
        </w:rPr>
        <w:t>Запечаћена</w:t>
      </w:r>
      <w:r w:rsidR="00AF34F9" w:rsidRPr="005501E1">
        <w:rPr>
          <w:bCs/>
          <w:sz w:val="22"/>
          <w:szCs w:val="22"/>
          <w:lang w:val="sr-Cyrl-CS"/>
        </w:rPr>
        <w:t>/затворена</w:t>
      </w:r>
      <w:r w:rsidRPr="005501E1">
        <w:rPr>
          <w:bCs/>
          <w:sz w:val="22"/>
          <w:szCs w:val="22"/>
          <w:lang w:val="sr-Cyrl-CS"/>
        </w:rPr>
        <w:t xml:space="preserve"> коверта са понудом треба да садржи:</w:t>
      </w:r>
    </w:p>
    <w:p w:rsidR="00760A06" w:rsidRPr="005501E1" w:rsidRDefault="00760A06" w:rsidP="00D50223">
      <w:pPr>
        <w:numPr>
          <w:ilvl w:val="0"/>
          <w:numId w:val="10"/>
        </w:numPr>
        <w:jc w:val="both"/>
        <w:rPr>
          <w:bCs/>
          <w:sz w:val="22"/>
          <w:szCs w:val="22"/>
          <w:lang w:val="sr-Cyrl-CS"/>
        </w:rPr>
      </w:pPr>
      <w:r w:rsidRPr="005501E1">
        <w:rPr>
          <w:bCs/>
          <w:sz w:val="22"/>
          <w:szCs w:val="22"/>
          <w:lang w:val="sr-Cyrl-CS"/>
        </w:rPr>
        <w:t>пријаву за учешће у поступку јавног прикупљања понуда потписану лично или од стране овлашћеног лица и доказ да је у питању овлашћено лице;</w:t>
      </w:r>
    </w:p>
    <w:p w:rsidR="00760A06" w:rsidRPr="005501E1" w:rsidRDefault="00760A06" w:rsidP="00D50223">
      <w:pPr>
        <w:numPr>
          <w:ilvl w:val="0"/>
          <w:numId w:val="10"/>
        </w:numPr>
        <w:jc w:val="both"/>
        <w:rPr>
          <w:bCs/>
          <w:sz w:val="22"/>
          <w:szCs w:val="22"/>
          <w:lang w:val="sr-Cyrl-CS"/>
        </w:rPr>
      </w:pPr>
      <w:r w:rsidRPr="005501E1">
        <w:rPr>
          <w:bCs/>
          <w:sz w:val="22"/>
          <w:szCs w:val="22"/>
          <w:lang w:val="sr-Cyrl-CS"/>
        </w:rPr>
        <w:t>потписану понуду, уз навођење јасно одређеног износа за куповину предмета продаје;</w:t>
      </w:r>
    </w:p>
    <w:p w:rsidR="00760A06" w:rsidRPr="005501E1" w:rsidRDefault="00760A06" w:rsidP="00D50223">
      <w:pPr>
        <w:numPr>
          <w:ilvl w:val="0"/>
          <w:numId w:val="10"/>
        </w:numPr>
        <w:jc w:val="both"/>
        <w:rPr>
          <w:bCs/>
          <w:sz w:val="22"/>
          <w:szCs w:val="22"/>
          <w:lang w:val="sr-Cyrl-CS"/>
        </w:rPr>
      </w:pPr>
      <w:r w:rsidRPr="005501E1">
        <w:rPr>
          <w:bCs/>
          <w:sz w:val="22"/>
          <w:szCs w:val="22"/>
          <w:lang w:val="sr-Cyrl-CS"/>
        </w:rPr>
        <w:t xml:space="preserve">доказ о уплати депозита или </w:t>
      </w:r>
      <w:r w:rsidR="00AF34F9" w:rsidRPr="005501E1">
        <w:rPr>
          <w:bCs/>
          <w:sz w:val="22"/>
          <w:szCs w:val="22"/>
          <w:lang w:val="sr-Cyrl-CS"/>
        </w:rPr>
        <w:t>оригинал</w:t>
      </w:r>
      <w:r w:rsidRPr="005501E1">
        <w:rPr>
          <w:bCs/>
          <w:sz w:val="22"/>
          <w:szCs w:val="22"/>
          <w:lang w:val="sr-Cyrl-CS"/>
        </w:rPr>
        <w:t xml:space="preserve"> банкарске гаранције;</w:t>
      </w:r>
    </w:p>
    <w:p w:rsidR="00760A06" w:rsidRPr="004F5420" w:rsidRDefault="00760A06" w:rsidP="00D50223">
      <w:pPr>
        <w:numPr>
          <w:ilvl w:val="0"/>
          <w:numId w:val="10"/>
        </w:numPr>
        <w:jc w:val="both"/>
        <w:rPr>
          <w:bCs/>
          <w:sz w:val="22"/>
          <w:szCs w:val="22"/>
          <w:lang w:val="sr-Cyrl-CS"/>
        </w:rPr>
      </w:pPr>
      <w:r w:rsidRPr="004F5420">
        <w:rPr>
          <w:bCs/>
          <w:sz w:val="22"/>
          <w:szCs w:val="22"/>
          <w:lang w:val="sr-Cyrl-CS"/>
        </w:rPr>
        <w:t>потписану изјаву о губитку права на повраћај депозита;</w:t>
      </w:r>
    </w:p>
    <w:p w:rsidR="00760A06" w:rsidRPr="004F5420" w:rsidRDefault="00760A06" w:rsidP="00D50223">
      <w:pPr>
        <w:numPr>
          <w:ilvl w:val="0"/>
          <w:numId w:val="10"/>
        </w:numPr>
        <w:jc w:val="both"/>
        <w:rPr>
          <w:bCs/>
          <w:sz w:val="22"/>
          <w:szCs w:val="22"/>
          <w:lang w:val="sr-Cyrl-CS"/>
        </w:rPr>
      </w:pPr>
      <w:r w:rsidRPr="004F5420">
        <w:rPr>
          <w:bCs/>
          <w:sz w:val="22"/>
          <w:szCs w:val="22"/>
          <w:lang w:val="sr-Cyrl-CS"/>
        </w:rPr>
        <w:t>извод из регистра привредних субјеката и ОП образац, ако се као потенцијални купац пријављује правно лице;</w:t>
      </w:r>
    </w:p>
    <w:p w:rsidR="00760A06" w:rsidRPr="005501E1" w:rsidRDefault="002C4648" w:rsidP="00D50223">
      <w:pPr>
        <w:numPr>
          <w:ilvl w:val="0"/>
          <w:numId w:val="11"/>
        </w:numPr>
        <w:jc w:val="both"/>
        <w:rPr>
          <w:bCs/>
          <w:sz w:val="22"/>
          <w:szCs w:val="22"/>
          <w:lang w:val="sr-Cyrl-CS"/>
        </w:rPr>
      </w:pPr>
      <w:r w:rsidRPr="005501E1">
        <w:rPr>
          <w:sz w:val="22"/>
          <w:szCs w:val="22"/>
          <w:lang w:val="sr-Cyrl-CS"/>
        </w:rPr>
        <w:t xml:space="preserve">овлашћење за заступање односно предузимање конкретних радњи у поступку продаје, уколико </w:t>
      </w:r>
      <w:r w:rsidR="002E525C" w:rsidRPr="005501E1">
        <w:rPr>
          <w:sz w:val="22"/>
          <w:szCs w:val="22"/>
          <w:lang w:val="sr-Cyrl-CS"/>
        </w:rPr>
        <w:t>отварању понуда</w:t>
      </w:r>
      <w:r w:rsidRPr="005501E1">
        <w:rPr>
          <w:sz w:val="22"/>
          <w:szCs w:val="22"/>
          <w:lang w:val="sr-Cyrl-CS"/>
        </w:rPr>
        <w:t xml:space="preserve"> не присуствује потенцијални купац лично (за физичка лица) или законски заступник (за правна лица)</w:t>
      </w:r>
      <w:r w:rsidR="00760A06" w:rsidRPr="005501E1">
        <w:rPr>
          <w:bCs/>
          <w:sz w:val="22"/>
          <w:szCs w:val="22"/>
          <w:lang w:val="sr-Cyrl-CS"/>
        </w:rPr>
        <w:t>.</w:t>
      </w:r>
    </w:p>
    <w:p w:rsidR="002C4648" w:rsidRPr="004F5420" w:rsidRDefault="002C4648" w:rsidP="00D50223">
      <w:pPr>
        <w:jc w:val="both"/>
        <w:rPr>
          <w:b/>
          <w:bCs/>
          <w:sz w:val="22"/>
          <w:szCs w:val="22"/>
          <w:lang w:val="sr-Cyrl-CS"/>
        </w:rPr>
      </w:pPr>
    </w:p>
    <w:p w:rsidR="002C4648" w:rsidRPr="004F5420" w:rsidRDefault="002C4648" w:rsidP="00D50223">
      <w:pPr>
        <w:jc w:val="both"/>
        <w:rPr>
          <w:sz w:val="22"/>
          <w:szCs w:val="22"/>
          <w:lang w:val="sr-Cyrl-CS"/>
        </w:rPr>
      </w:pPr>
      <w:r w:rsidRPr="004F5420">
        <w:rPr>
          <w:b/>
          <w:bCs/>
          <w:sz w:val="22"/>
          <w:szCs w:val="22"/>
          <w:lang w:val="sr-Cyrl-CS"/>
        </w:rPr>
        <w:t xml:space="preserve">Јавно отварање понуда одржаће се дана 24.06.2021. год. </w:t>
      </w:r>
      <w:r w:rsidRPr="004F5420">
        <w:rPr>
          <w:b/>
          <w:sz w:val="22"/>
          <w:szCs w:val="22"/>
          <w:lang w:val="sr-Cyrl-CS"/>
        </w:rPr>
        <w:t xml:space="preserve">у </w:t>
      </w:r>
      <w:r w:rsidRPr="004F5420">
        <w:rPr>
          <w:b/>
          <w:bCs/>
          <w:sz w:val="22"/>
          <w:szCs w:val="22"/>
          <w:lang w:val="sr-Cyrl-CS"/>
        </w:rPr>
        <w:t>12:00 часов</w:t>
      </w:r>
      <w:r w:rsidRPr="004F5420">
        <w:rPr>
          <w:b/>
          <w:sz w:val="22"/>
          <w:szCs w:val="22"/>
          <w:lang w:val="sr-Cyrl-CS"/>
        </w:rPr>
        <w:t>а</w:t>
      </w:r>
      <w:r w:rsidRPr="004F5420">
        <w:rPr>
          <w:sz w:val="22"/>
          <w:szCs w:val="22"/>
          <w:lang w:val="sr-Cyrl-CS"/>
        </w:rPr>
        <w:t xml:space="preserve"> (15 минута по истеку рока за достављање понуда), </w:t>
      </w:r>
      <w:r w:rsidR="00BB5C13" w:rsidRPr="004F5420">
        <w:rPr>
          <w:sz w:val="22"/>
          <w:szCs w:val="22"/>
          <w:lang w:val="sr-Cyrl-CS"/>
        </w:rPr>
        <w:t xml:space="preserve">у канцеларији стечајног управника, </w:t>
      </w:r>
      <w:r w:rsidRPr="004F5420">
        <w:rPr>
          <w:rFonts w:eastAsia="Calibri"/>
          <w:sz w:val="22"/>
          <w:szCs w:val="22"/>
          <w:lang w:val="sr-Cyrl-CS"/>
        </w:rPr>
        <w:t xml:space="preserve">на адреси: </w:t>
      </w:r>
      <w:r w:rsidR="00FB75E8" w:rsidRPr="004F5420">
        <w:rPr>
          <w:b/>
          <w:sz w:val="22"/>
          <w:szCs w:val="22"/>
          <w:lang w:val="sr-Cyrl-CS"/>
        </w:rPr>
        <w:t>Булевар краља Александра бр. 17, улаз 2, стан 20, Београд</w:t>
      </w:r>
      <w:r w:rsidR="00FB75E8" w:rsidRPr="004F5420">
        <w:rPr>
          <w:sz w:val="22"/>
          <w:szCs w:val="22"/>
          <w:lang w:val="sr-Cyrl-CS"/>
        </w:rPr>
        <w:t>,</w:t>
      </w:r>
      <w:r w:rsidRPr="004F5420">
        <w:rPr>
          <w:sz w:val="22"/>
          <w:szCs w:val="22"/>
          <w:lang w:val="sr-Cyrl-CS"/>
        </w:rPr>
        <w:t xml:space="preserve">у присуству Комисије за отварање понуда. </w:t>
      </w:r>
    </w:p>
    <w:p w:rsidR="002C4648" w:rsidRPr="004F5420" w:rsidRDefault="002C4648" w:rsidP="00D50223">
      <w:pPr>
        <w:jc w:val="both"/>
        <w:rPr>
          <w:sz w:val="22"/>
          <w:szCs w:val="22"/>
          <w:lang w:val="sr-Cyrl-CS"/>
        </w:rPr>
      </w:pPr>
    </w:p>
    <w:p w:rsidR="002C4648" w:rsidRPr="004F5420" w:rsidRDefault="002C4648" w:rsidP="00D50223">
      <w:pPr>
        <w:jc w:val="both"/>
        <w:rPr>
          <w:sz w:val="22"/>
          <w:szCs w:val="22"/>
          <w:lang w:val="sr-Cyrl-CS"/>
        </w:rPr>
      </w:pPr>
      <w:r w:rsidRPr="004F5420">
        <w:rPr>
          <w:bCs/>
          <w:sz w:val="22"/>
          <w:szCs w:val="22"/>
          <w:lang w:val="sr-Cyrl-CS"/>
        </w:rPr>
        <w:t xml:space="preserve">Позивају се понуђачи и чланови </w:t>
      </w:r>
      <w:r w:rsidR="00FB75E8" w:rsidRPr="004F5420">
        <w:rPr>
          <w:bCs/>
          <w:sz w:val="22"/>
          <w:szCs w:val="22"/>
          <w:lang w:val="sr-Cyrl-CS"/>
        </w:rPr>
        <w:t>О</w:t>
      </w:r>
      <w:r w:rsidRPr="004F5420">
        <w:rPr>
          <w:bCs/>
          <w:sz w:val="22"/>
          <w:szCs w:val="22"/>
          <w:lang w:val="sr-Cyrl-CS"/>
        </w:rPr>
        <w:t>дбора поверилаца да присуствују отварању понуда. Отварању пону</w:t>
      </w:r>
      <w:r w:rsidR="00FB75E8" w:rsidRPr="004F5420">
        <w:rPr>
          <w:bCs/>
          <w:sz w:val="22"/>
          <w:szCs w:val="22"/>
          <w:lang w:val="sr-Cyrl-CS"/>
        </w:rPr>
        <w:t xml:space="preserve">да приступиће се и ако </w:t>
      </w:r>
      <w:r w:rsidR="00BB5C13" w:rsidRPr="004F5420">
        <w:rPr>
          <w:bCs/>
          <w:sz w:val="22"/>
          <w:szCs w:val="22"/>
          <w:lang w:val="sr-Cyrl-CS"/>
        </w:rPr>
        <w:t xml:space="preserve">неко од понуђача </w:t>
      </w:r>
      <w:r w:rsidR="00771DAF" w:rsidRPr="004F5420">
        <w:rPr>
          <w:bCs/>
          <w:sz w:val="22"/>
          <w:szCs w:val="22"/>
          <w:lang w:val="sr-Cyrl-CS"/>
        </w:rPr>
        <w:t xml:space="preserve">или </w:t>
      </w:r>
      <w:r w:rsidR="00FB75E8" w:rsidRPr="004F5420">
        <w:rPr>
          <w:bCs/>
          <w:sz w:val="22"/>
          <w:szCs w:val="22"/>
          <w:lang w:val="sr-Cyrl-CS"/>
        </w:rPr>
        <w:t>чланов</w:t>
      </w:r>
      <w:r w:rsidR="00771DAF" w:rsidRPr="004F5420">
        <w:rPr>
          <w:bCs/>
          <w:sz w:val="22"/>
          <w:szCs w:val="22"/>
          <w:lang w:val="sr-Cyrl-CS"/>
        </w:rPr>
        <w:t>а</w:t>
      </w:r>
      <w:r w:rsidR="00FB75E8" w:rsidRPr="004F5420">
        <w:rPr>
          <w:bCs/>
          <w:sz w:val="22"/>
          <w:szCs w:val="22"/>
          <w:lang w:val="sr-Cyrl-CS"/>
        </w:rPr>
        <w:t xml:space="preserve"> О</w:t>
      </w:r>
      <w:r w:rsidRPr="004F5420">
        <w:rPr>
          <w:bCs/>
          <w:sz w:val="22"/>
          <w:szCs w:val="22"/>
          <w:lang w:val="sr-Cyrl-CS"/>
        </w:rPr>
        <w:t xml:space="preserve">дбора поверилаца </w:t>
      </w:r>
      <w:r w:rsidR="00FB75E8" w:rsidRPr="004F5420">
        <w:rPr>
          <w:bCs/>
          <w:sz w:val="22"/>
          <w:szCs w:val="22"/>
          <w:lang w:val="sr-Cyrl-CS"/>
        </w:rPr>
        <w:t>не присуствуј</w:t>
      </w:r>
      <w:r w:rsidR="00771DAF" w:rsidRPr="004F5420">
        <w:rPr>
          <w:bCs/>
          <w:sz w:val="22"/>
          <w:szCs w:val="22"/>
          <w:lang w:val="sr-Cyrl-CS"/>
        </w:rPr>
        <w:t>е</w:t>
      </w:r>
      <w:r w:rsidRPr="004F5420">
        <w:rPr>
          <w:bCs/>
          <w:sz w:val="22"/>
          <w:szCs w:val="22"/>
          <w:lang w:val="sr-Cyrl-CS"/>
        </w:rPr>
        <w:t xml:space="preserve"> продаји</w:t>
      </w:r>
      <w:r w:rsidRPr="004F5420">
        <w:rPr>
          <w:sz w:val="22"/>
          <w:szCs w:val="22"/>
          <w:lang w:val="sr-Cyrl-CS"/>
        </w:rPr>
        <w:t>.</w:t>
      </w:r>
      <w:r w:rsidR="00BB5C13" w:rsidRPr="004F5420">
        <w:rPr>
          <w:sz w:val="22"/>
          <w:szCs w:val="22"/>
          <w:lang w:val="sr-Cyrl-CS"/>
        </w:rPr>
        <w:t xml:space="preserve"> У току или након отварања понуда није дозвољено побољшање понуда.</w:t>
      </w:r>
    </w:p>
    <w:p w:rsidR="00FB75E8" w:rsidRPr="004F5420" w:rsidRDefault="00FB75E8" w:rsidP="00D50223">
      <w:pPr>
        <w:pStyle w:val="basic-paragraph"/>
        <w:ind w:firstLine="0"/>
        <w:rPr>
          <w:rFonts w:ascii="Times New Roman" w:hAnsi="Times New Roman"/>
          <w:sz w:val="22"/>
          <w:szCs w:val="22"/>
          <w:lang w:val="sr-Cyrl-CS"/>
        </w:rPr>
      </w:pPr>
    </w:p>
    <w:p w:rsidR="00FB75E8" w:rsidRPr="004F5420" w:rsidRDefault="00FB75E8" w:rsidP="00D50223">
      <w:pPr>
        <w:pStyle w:val="basic-paragraph"/>
        <w:ind w:firstLine="0"/>
        <w:jc w:val="both"/>
        <w:rPr>
          <w:rFonts w:ascii="Times New Roman" w:hAnsi="Times New Roman"/>
          <w:sz w:val="22"/>
          <w:szCs w:val="22"/>
          <w:lang w:val="sr-Cyrl-CS"/>
        </w:rPr>
      </w:pPr>
      <w:r w:rsidRPr="004F5420">
        <w:rPr>
          <w:rFonts w:ascii="Times New Roman" w:hAnsi="Times New Roman"/>
          <w:sz w:val="22"/>
          <w:szCs w:val="22"/>
          <w:lang w:val="sr-Cyrl-CS"/>
        </w:rPr>
        <w:t xml:space="preserve">Стечајни управник неће разматрати понуде које не садрже јасно одређен износ на који понуда гласи, које се позивају на неку другу понуду, понуде дате под условом или се позивају на услове који нису предвиђени у продајној документацији и огласу, као и понуде уз које није положен депозит у предвиђеном року. </w:t>
      </w:r>
    </w:p>
    <w:p w:rsidR="00BB5C13" w:rsidRPr="004F5420" w:rsidRDefault="00BB5C13" w:rsidP="00D50223">
      <w:pPr>
        <w:spacing w:before="120"/>
        <w:jc w:val="both"/>
        <w:rPr>
          <w:sz w:val="22"/>
          <w:szCs w:val="22"/>
          <w:lang w:val="sr-Cyrl-CS"/>
        </w:rPr>
      </w:pPr>
      <w:r w:rsidRPr="004F5420">
        <w:rPr>
          <w:sz w:val="22"/>
          <w:szCs w:val="22"/>
          <w:shd w:val="clear" w:color="auto" w:fill="FFFFFF"/>
          <w:lang w:val="sr-Cyrl-CS"/>
        </w:rPr>
        <w:t>Стечајни управник ће прихвати највишу достављену понуду, ако је понуда једнака или већа од 50%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r w:rsidRPr="004F5420">
        <w:rPr>
          <w:sz w:val="22"/>
          <w:szCs w:val="22"/>
          <w:lang w:val="sr-Cyrl-CS"/>
        </w:rPr>
        <w:t>.</w:t>
      </w:r>
      <w:r w:rsidR="006D1FEA" w:rsidRPr="006D1FEA">
        <w:rPr>
          <w:sz w:val="22"/>
          <w:szCs w:val="22"/>
          <w:lang w:val="sr-Cyrl-CS"/>
        </w:rPr>
        <w:t xml:space="preserve">Уколико </w:t>
      </w:r>
      <w:r w:rsidR="006D1FEA">
        <w:rPr>
          <w:sz w:val="22"/>
          <w:szCs w:val="22"/>
          <w:lang w:val="sr-Latn-CS"/>
        </w:rPr>
        <w:t>O</w:t>
      </w:r>
      <w:r w:rsidR="006D1FEA" w:rsidRPr="006D1FEA">
        <w:rPr>
          <w:sz w:val="22"/>
          <w:szCs w:val="22"/>
          <w:lang w:val="sr-Cyrl-CS"/>
        </w:rPr>
        <w:t xml:space="preserve">дбор поверилаца у року од </w:t>
      </w:r>
      <w:r w:rsidR="006D1FEA" w:rsidRPr="006D1FEA">
        <w:rPr>
          <w:b/>
          <w:sz w:val="22"/>
          <w:szCs w:val="22"/>
          <w:lang w:val="sr-Cyrl-CS"/>
        </w:rPr>
        <w:t>15 дана</w:t>
      </w:r>
      <w:r w:rsidR="006D1FEA" w:rsidRPr="006D1FEA">
        <w:rPr>
          <w:sz w:val="22"/>
          <w:szCs w:val="22"/>
          <w:lang w:val="sr-Cyrl-CS"/>
        </w:rPr>
        <w:t xml:space="preserve"> од дана пријема захтева стечајном управнику не доставе наведену сагласност, стечајни управник ће продају прогласити неуспешном.</w:t>
      </w:r>
    </w:p>
    <w:p w:rsidR="00776D46" w:rsidRPr="004F5420" w:rsidRDefault="00776D46" w:rsidP="00D50223">
      <w:pPr>
        <w:rPr>
          <w:sz w:val="22"/>
          <w:szCs w:val="22"/>
          <w:lang w:val="sr-Cyrl-CS"/>
        </w:rPr>
      </w:pPr>
    </w:p>
    <w:p w:rsidR="00776D46" w:rsidRPr="00147207" w:rsidRDefault="00776D46" w:rsidP="00D50223">
      <w:pPr>
        <w:jc w:val="both"/>
        <w:rPr>
          <w:sz w:val="22"/>
          <w:szCs w:val="22"/>
          <w:lang w:val="sr-Cyrl-CS"/>
        </w:rPr>
      </w:pPr>
      <w:r w:rsidRPr="00147207">
        <w:rPr>
          <w:sz w:val="22"/>
          <w:szCs w:val="22"/>
          <w:lang w:val="sr-Cyrl-CS"/>
        </w:rPr>
        <w:t xml:space="preserve">У случају да </w:t>
      </w:r>
      <w:r w:rsidR="00B422BE" w:rsidRPr="00147207">
        <w:rPr>
          <w:sz w:val="22"/>
          <w:szCs w:val="22"/>
          <w:lang w:val="sr-Cyrl-CS"/>
        </w:rPr>
        <w:t xml:space="preserve">је прихваћену понуду дао </w:t>
      </w:r>
      <w:r w:rsidRPr="00147207">
        <w:rPr>
          <w:sz w:val="22"/>
          <w:szCs w:val="22"/>
          <w:lang w:val="sr-Cyrl-CS"/>
        </w:rPr>
        <w:t>купац који је депозит обезбедио банкарском гаранцијом, исти мора уплатити износ депо</w:t>
      </w:r>
      <w:r w:rsidR="00B422BE" w:rsidRPr="00147207">
        <w:rPr>
          <w:sz w:val="22"/>
          <w:szCs w:val="22"/>
          <w:lang w:val="sr-Cyrl-CS"/>
        </w:rPr>
        <w:t>зита на рачун стечајног дужника</w:t>
      </w:r>
      <w:r w:rsidRPr="00147207">
        <w:rPr>
          <w:sz w:val="22"/>
          <w:szCs w:val="22"/>
          <w:lang w:val="sr-Cyrl-CS"/>
        </w:rPr>
        <w:t xml:space="preserve"> у року од </w:t>
      </w:r>
      <w:r w:rsidR="00B422BE" w:rsidRPr="00147207">
        <w:rPr>
          <w:b/>
          <w:sz w:val="22"/>
          <w:szCs w:val="22"/>
          <w:lang w:val="sr-Cyrl-CS"/>
        </w:rPr>
        <w:t>два</w:t>
      </w:r>
      <w:r w:rsidRPr="00147207">
        <w:rPr>
          <w:b/>
          <w:sz w:val="22"/>
          <w:szCs w:val="22"/>
          <w:lang w:val="sr-Cyrl-CS"/>
        </w:rPr>
        <w:t xml:space="preserve"> радна дана</w:t>
      </w:r>
      <w:r w:rsidR="00B422BE" w:rsidRPr="00147207">
        <w:rPr>
          <w:sz w:val="22"/>
          <w:szCs w:val="22"/>
          <w:lang w:val="sr-Cyrl-CS"/>
        </w:rPr>
        <w:t xml:space="preserve">од дана одржавања јавног отварања понуда, односно </w:t>
      </w:r>
      <w:r w:rsidRPr="00147207">
        <w:rPr>
          <w:sz w:val="22"/>
          <w:szCs w:val="22"/>
          <w:lang w:val="sr-Cyrl-CS"/>
        </w:rPr>
        <w:t>од дана пријема обавештења о прихватању понуде</w:t>
      </w:r>
      <w:r w:rsidR="00B422BE" w:rsidRPr="00147207">
        <w:rPr>
          <w:sz w:val="22"/>
          <w:szCs w:val="22"/>
          <w:lang w:val="sr-Cyrl-CS"/>
        </w:rPr>
        <w:t xml:space="preserve"> (у случају да је за прихв</w:t>
      </w:r>
      <w:r w:rsidR="0030289D" w:rsidRPr="00147207">
        <w:rPr>
          <w:sz w:val="22"/>
          <w:szCs w:val="22"/>
          <w:lang w:val="sr-Cyrl-CS"/>
        </w:rPr>
        <w:t>а</w:t>
      </w:r>
      <w:r w:rsidR="00B422BE" w:rsidRPr="00147207">
        <w:rPr>
          <w:sz w:val="22"/>
          <w:szCs w:val="22"/>
          <w:lang w:val="sr-Cyrl-CS"/>
        </w:rPr>
        <w:t>тање понуде била потребна сагласност Одбора поверилаца)</w:t>
      </w:r>
      <w:r w:rsidRPr="00147207">
        <w:rPr>
          <w:sz w:val="22"/>
          <w:szCs w:val="22"/>
          <w:lang w:val="sr-Cyrl-CS"/>
        </w:rPr>
        <w:t xml:space="preserve">, а пре потписивања купопродајног уговора, након чега ће му </w:t>
      </w:r>
      <w:r w:rsidR="00B422BE" w:rsidRPr="00147207">
        <w:rPr>
          <w:sz w:val="22"/>
          <w:szCs w:val="22"/>
          <w:lang w:val="sr-Cyrl-CS"/>
        </w:rPr>
        <w:t xml:space="preserve">гаранција </w:t>
      </w:r>
      <w:r w:rsidRPr="00147207">
        <w:rPr>
          <w:sz w:val="22"/>
          <w:szCs w:val="22"/>
          <w:lang w:val="sr-Cyrl-CS"/>
        </w:rPr>
        <w:t>бити враћена.</w:t>
      </w:r>
    </w:p>
    <w:p w:rsidR="00776D46" w:rsidRPr="00147207" w:rsidRDefault="00776D46" w:rsidP="00D50223">
      <w:pPr>
        <w:jc w:val="both"/>
        <w:rPr>
          <w:sz w:val="22"/>
          <w:szCs w:val="22"/>
          <w:lang w:val="sr-Cyrl-CS"/>
        </w:rPr>
      </w:pPr>
    </w:p>
    <w:p w:rsidR="00B422BE" w:rsidRPr="006D1FEA" w:rsidRDefault="00B422BE" w:rsidP="00D50223">
      <w:pPr>
        <w:jc w:val="both"/>
        <w:rPr>
          <w:sz w:val="22"/>
          <w:szCs w:val="22"/>
          <w:lang w:val="sr-Cyrl-CS"/>
        </w:rPr>
      </w:pPr>
      <w:r w:rsidRPr="00147207">
        <w:rPr>
          <w:sz w:val="22"/>
          <w:szCs w:val="22"/>
          <w:lang w:val="sr-Cyrl-CS"/>
        </w:rPr>
        <w:t xml:space="preserve">Закључењу уговора о купопродаји приступа се у року од </w:t>
      </w:r>
      <w:r w:rsidRPr="00147207">
        <w:rPr>
          <w:b/>
          <w:sz w:val="22"/>
          <w:szCs w:val="22"/>
          <w:lang w:val="sr-Cyrl-CS"/>
        </w:rPr>
        <w:t>три радна дана</w:t>
      </w:r>
      <w:r w:rsidRPr="00147207">
        <w:rPr>
          <w:sz w:val="22"/>
          <w:szCs w:val="22"/>
          <w:lang w:val="sr-Cyrl-CS"/>
        </w:rPr>
        <w:t xml:space="preserve"> од дана одржавања јавног отварања понуда, односно од дана пријема обавештења о прихватању понуде (у случају да је за прихв</w:t>
      </w:r>
      <w:r w:rsidR="0030289D" w:rsidRPr="00147207">
        <w:rPr>
          <w:sz w:val="22"/>
          <w:szCs w:val="22"/>
          <w:lang w:val="sr-Cyrl-CS"/>
        </w:rPr>
        <w:t>а</w:t>
      </w:r>
      <w:r w:rsidRPr="00147207">
        <w:rPr>
          <w:sz w:val="22"/>
          <w:szCs w:val="22"/>
          <w:lang w:val="sr-Cyrl-CS"/>
        </w:rPr>
        <w:t xml:space="preserve">тање понуде била потребна сагласност Одбора поверилаца), под условом да је </w:t>
      </w:r>
      <w:r w:rsidRPr="00147207">
        <w:rPr>
          <w:sz w:val="22"/>
          <w:szCs w:val="22"/>
          <w:lang w:val="sr-Cyrl-CS"/>
        </w:rPr>
        <w:lastRenderedPageBreak/>
        <w:t xml:space="preserve">депозит који је обезбеђен гаранцијом уплаћен на рачун стечајног дужника. Проглашени купац дужан је да преостали износ купопродајне цене уплати у року од </w:t>
      </w:r>
      <w:r w:rsidR="0030289D" w:rsidRPr="00147207">
        <w:rPr>
          <w:b/>
          <w:sz w:val="22"/>
          <w:szCs w:val="22"/>
          <w:lang w:val="sr-Cyrl-CS"/>
        </w:rPr>
        <w:t>осам</w:t>
      </w:r>
      <w:r w:rsidRPr="00147207">
        <w:rPr>
          <w:b/>
          <w:sz w:val="22"/>
          <w:szCs w:val="22"/>
          <w:lang w:val="sr-Cyrl-CS"/>
        </w:rPr>
        <w:t xml:space="preserve"> дана</w:t>
      </w:r>
      <w:r w:rsidRPr="00147207">
        <w:rPr>
          <w:sz w:val="22"/>
          <w:szCs w:val="22"/>
          <w:lang w:val="sr-Cyrl-CS"/>
        </w:rPr>
        <w:t xml:space="preserve"> од дана закључења уговора о купопродаји. Ако проглашени купац одбије закључење уговора о купопродаји, или не </w:t>
      </w:r>
      <w:r w:rsidRPr="006D1FEA">
        <w:rPr>
          <w:sz w:val="22"/>
          <w:szCs w:val="22"/>
          <w:lang w:val="sr-Cyrl-CS"/>
        </w:rPr>
        <w:t>уплати купопродајну цену у прописаним роковима и по прописаној процедури, губи право на повраћај депозита.</w:t>
      </w:r>
    </w:p>
    <w:p w:rsidR="00BB5C13" w:rsidRPr="006D1FEA" w:rsidRDefault="00BB5C13" w:rsidP="00D50223">
      <w:pPr>
        <w:pStyle w:val="basic-paragraph"/>
        <w:ind w:firstLine="0"/>
        <w:jc w:val="both"/>
        <w:rPr>
          <w:rFonts w:ascii="Times New Roman" w:hAnsi="Times New Roman"/>
          <w:sz w:val="22"/>
          <w:szCs w:val="22"/>
          <w:lang w:val="sr-Cyrl-CS"/>
        </w:rPr>
      </w:pPr>
    </w:p>
    <w:p w:rsidR="00BB5C13" w:rsidRPr="006D1FEA" w:rsidRDefault="00BB5C13" w:rsidP="00D50223">
      <w:pPr>
        <w:pStyle w:val="basic-paragraph"/>
        <w:ind w:firstLine="0"/>
        <w:jc w:val="both"/>
        <w:rPr>
          <w:rFonts w:ascii="Times New Roman" w:hAnsi="Times New Roman"/>
          <w:sz w:val="22"/>
          <w:szCs w:val="22"/>
          <w:lang w:val="sr-Cyrl-CS"/>
        </w:rPr>
      </w:pPr>
      <w:r w:rsidRPr="006D1FEA">
        <w:rPr>
          <w:rFonts w:ascii="Times New Roman" w:hAnsi="Times New Roman"/>
          <w:sz w:val="22"/>
          <w:szCs w:val="22"/>
          <w:lang w:val="sr-Cyrl-CS"/>
        </w:rPr>
        <w:t xml:space="preserve">Стечајни управник ће вратити депозит сваком понуђачу </w:t>
      </w:r>
      <w:r w:rsidR="00E742D9" w:rsidRPr="006D1FEA">
        <w:rPr>
          <w:rFonts w:ascii="Times New Roman" w:hAnsi="Times New Roman"/>
          <w:sz w:val="22"/>
          <w:szCs w:val="22"/>
          <w:lang w:val="sr-Cyrl-CS"/>
        </w:rPr>
        <w:t xml:space="preserve">чија понуда није најбоље рангирана односно чија понуда </w:t>
      </w:r>
      <w:r w:rsidRPr="006D1FEA">
        <w:rPr>
          <w:rFonts w:ascii="Times New Roman" w:hAnsi="Times New Roman"/>
          <w:sz w:val="22"/>
          <w:szCs w:val="22"/>
          <w:lang w:val="sr-Cyrl-CS"/>
        </w:rPr>
        <w:t>не буде прихваћена</w:t>
      </w:r>
      <w:r w:rsidR="00E742D9" w:rsidRPr="006D1FEA">
        <w:rPr>
          <w:rFonts w:ascii="Times New Roman" w:hAnsi="Times New Roman"/>
          <w:sz w:val="22"/>
          <w:szCs w:val="22"/>
          <w:lang w:val="sr-Cyrl-CS"/>
        </w:rPr>
        <w:t xml:space="preserve"> (у случају да је за прихватање понуде била потребна сагласноост Одбора поверилаца)</w:t>
      </w:r>
      <w:r w:rsidRPr="006D1FEA">
        <w:rPr>
          <w:rFonts w:ascii="Times New Roman" w:hAnsi="Times New Roman"/>
          <w:sz w:val="22"/>
          <w:szCs w:val="22"/>
          <w:lang w:val="sr-Cyrl-CS"/>
        </w:rPr>
        <w:t xml:space="preserve">, у року од </w:t>
      </w:r>
      <w:r w:rsidRPr="006D1FEA">
        <w:rPr>
          <w:rFonts w:ascii="Times New Roman" w:hAnsi="Times New Roman"/>
          <w:b/>
          <w:sz w:val="22"/>
          <w:szCs w:val="22"/>
          <w:lang w:val="sr-Cyrl-CS"/>
        </w:rPr>
        <w:t>три радна дана</w:t>
      </w:r>
      <w:r w:rsidRPr="006D1FEA">
        <w:rPr>
          <w:rFonts w:ascii="Times New Roman" w:hAnsi="Times New Roman"/>
          <w:sz w:val="22"/>
          <w:szCs w:val="22"/>
          <w:lang w:val="sr-Cyrl-CS"/>
        </w:rPr>
        <w:t xml:space="preserve"> од дана одржавања јавног отварања</w:t>
      </w:r>
      <w:r w:rsidR="00E742D9" w:rsidRPr="006D1FEA">
        <w:rPr>
          <w:rFonts w:ascii="Times New Roman" w:hAnsi="Times New Roman"/>
          <w:sz w:val="22"/>
          <w:szCs w:val="22"/>
          <w:lang w:val="sr-Cyrl-CS"/>
        </w:rPr>
        <w:t xml:space="preserve"> понуда, односно од дана доношења одлуке Одбора поверилаца о неприхватању понуде.</w:t>
      </w:r>
    </w:p>
    <w:p w:rsidR="00BB5C13" w:rsidRPr="006D1FEA" w:rsidRDefault="00BB5C13" w:rsidP="00D50223">
      <w:pPr>
        <w:jc w:val="both"/>
        <w:rPr>
          <w:sz w:val="22"/>
          <w:szCs w:val="22"/>
          <w:lang w:val="sr-Cyrl-CS"/>
        </w:rPr>
      </w:pPr>
    </w:p>
    <w:p w:rsidR="00E742D9" w:rsidRPr="006D1FEA" w:rsidRDefault="00E742D9" w:rsidP="00D50223">
      <w:pPr>
        <w:jc w:val="both"/>
        <w:rPr>
          <w:sz w:val="22"/>
          <w:szCs w:val="22"/>
          <w:lang w:val="sr-Cyrl-CS"/>
        </w:rPr>
      </w:pPr>
      <w:r w:rsidRPr="006D1FEA">
        <w:rPr>
          <w:sz w:val="22"/>
          <w:szCs w:val="22"/>
          <w:lang w:val="sr-Cyrl-CS"/>
        </w:rPr>
        <w:t xml:space="preserve">Понуђач губи право на повраћај депозита уколико: </w:t>
      </w:r>
    </w:p>
    <w:p w:rsidR="00E742D9" w:rsidRPr="004F5420" w:rsidRDefault="00E742D9" w:rsidP="00D50223">
      <w:pPr>
        <w:pStyle w:val="ListParagraph"/>
        <w:numPr>
          <w:ilvl w:val="0"/>
          <w:numId w:val="14"/>
        </w:numPr>
        <w:ind w:left="357" w:hanging="357"/>
        <w:contextualSpacing w:val="0"/>
        <w:jc w:val="both"/>
        <w:rPr>
          <w:sz w:val="22"/>
          <w:szCs w:val="22"/>
          <w:lang w:val="sr-Cyrl-CS"/>
        </w:rPr>
      </w:pPr>
      <w:r w:rsidRPr="004F5420">
        <w:rPr>
          <w:sz w:val="22"/>
          <w:szCs w:val="22"/>
          <w:lang w:val="sr-Cyrl-CS"/>
        </w:rPr>
        <w:t>не поднесе понуду или поднесе понуду ко</w:t>
      </w:r>
      <w:r w:rsidR="00A91D24" w:rsidRPr="004F5420">
        <w:rPr>
          <w:sz w:val="22"/>
          <w:szCs w:val="22"/>
          <w:lang w:val="sr-Cyrl-CS"/>
        </w:rPr>
        <w:t>ја не садржи обавезне елементе;</w:t>
      </w:r>
    </w:p>
    <w:p w:rsidR="00E742D9" w:rsidRPr="004F5420" w:rsidRDefault="00E742D9" w:rsidP="00D50223">
      <w:pPr>
        <w:pStyle w:val="ListParagraph"/>
        <w:numPr>
          <w:ilvl w:val="0"/>
          <w:numId w:val="14"/>
        </w:numPr>
        <w:ind w:left="357" w:hanging="357"/>
        <w:contextualSpacing w:val="0"/>
        <w:jc w:val="both"/>
        <w:rPr>
          <w:sz w:val="22"/>
          <w:szCs w:val="22"/>
          <w:lang w:val="sr-Cyrl-CS"/>
        </w:rPr>
      </w:pPr>
      <w:r w:rsidRPr="004F5420">
        <w:rPr>
          <w:sz w:val="22"/>
          <w:szCs w:val="22"/>
          <w:lang w:val="sr-Cyrl-CS"/>
        </w:rPr>
        <w:t>не потпише купопродајни уговор</w:t>
      </w:r>
      <w:r w:rsidR="00A91D24" w:rsidRPr="004F5420">
        <w:rPr>
          <w:sz w:val="22"/>
          <w:szCs w:val="22"/>
          <w:lang w:val="sr-Cyrl-CS"/>
        </w:rPr>
        <w:t>;</w:t>
      </w:r>
      <w:r w:rsidRPr="004F5420">
        <w:rPr>
          <w:sz w:val="22"/>
          <w:szCs w:val="22"/>
          <w:lang w:val="sr-Cyrl-CS"/>
        </w:rPr>
        <w:t xml:space="preserve"> или </w:t>
      </w:r>
    </w:p>
    <w:p w:rsidR="00776D46" w:rsidRPr="004F5420" w:rsidRDefault="00E742D9" w:rsidP="00D50223">
      <w:pPr>
        <w:pStyle w:val="ListParagraph"/>
        <w:numPr>
          <w:ilvl w:val="0"/>
          <w:numId w:val="14"/>
        </w:numPr>
        <w:ind w:left="357" w:hanging="357"/>
        <w:contextualSpacing w:val="0"/>
        <w:jc w:val="both"/>
        <w:rPr>
          <w:sz w:val="22"/>
          <w:szCs w:val="22"/>
          <w:lang w:val="sr-Cyrl-CS"/>
        </w:rPr>
      </w:pPr>
      <w:r w:rsidRPr="004F5420">
        <w:rPr>
          <w:sz w:val="22"/>
          <w:szCs w:val="22"/>
          <w:lang w:val="sr-Cyrl-CS"/>
        </w:rPr>
        <w:t>буде проглашен купцем, а не уплати купопродајну цену у предвиђеном року и на прописан начин.</w:t>
      </w:r>
    </w:p>
    <w:p w:rsidR="00E742D9" w:rsidRPr="004F5420" w:rsidRDefault="00E742D9" w:rsidP="00D50223">
      <w:pPr>
        <w:jc w:val="both"/>
        <w:rPr>
          <w:sz w:val="22"/>
          <w:szCs w:val="22"/>
          <w:lang w:val="sr-Cyrl-CS"/>
        </w:rPr>
      </w:pPr>
    </w:p>
    <w:p w:rsidR="00BB5C13" w:rsidRPr="004F5420" w:rsidRDefault="00BB5C13" w:rsidP="00D50223">
      <w:pPr>
        <w:jc w:val="both"/>
        <w:rPr>
          <w:sz w:val="22"/>
          <w:szCs w:val="22"/>
          <w:lang w:val="sr-Cyrl-CS"/>
        </w:rPr>
      </w:pPr>
      <w:r w:rsidRPr="004F5420">
        <w:rPr>
          <w:sz w:val="22"/>
          <w:szCs w:val="22"/>
          <w:lang w:val="sr-Cyrl-CS"/>
        </w:rPr>
        <w:t>Порезе и трошкове који произлазе из реализације купопродаје у целости сноси купац.</w:t>
      </w:r>
    </w:p>
    <w:p w:rsidR="00D8717D" w:rsidRPr="004F5420" w:rsidRDefault="00D8717D" w:rsidP="00D50223">
      <w:pPr>
        <w:jc w:val="both"/>
        <w:rPr>
          <w:sz w:val="22"/>
          <w:szCs w:val="22"/>
          <w:lang w:val="sr-Cyrl-CS"/>
        </w:rPr>
      </w:pPr>
    </w:p>
    <w:p w:rsidR="00AE5CE1" w:rsidRPr="004F5420" w:rsidRDefault="00AE5CE1" w:rsidP="00D50223">
      <w:pPr>
        <w:jc w:val="both"/>
        <w:rPr>
          <w:sz w:val="22"/>
          <w:szCs w:val="22"/>
          <w:lang w:val="sr-Cyrl-CS"/>
        </w:rPr>
      </w:pPr>
      <w:r w:rsidRPr="004F5420">
        <w:rPr>
          <w:sz w:val="22"/>
          <w:szCs w:val="22"/>
          <w:shd w:val="clear" w:color="auto" w:fill="FFFFFF"/>
          <w:lang w:val="sr-Cyrl-CS"/>
        </w:rPr>
        <w:t xml:space="preserve">Стечајни управник напомиње да ће </w:t>
      </w:r>
      <w:r w:rsidR="00A91D24" w:rsidRPr="004F5420">
        <w:rPr>
          <w:sz w:val="22"/>
          <w:szCs w:val="22"/>
          <w:shd w:val="clear" w:color="auto" w:fill="FFFFFF"/>
          <w:lang w:val="sr-Cyrl-CS"/>
        </w:rPr>
        <w:t xml:space="preserve">се јавно отварање понуда спровести у </w:t>
      </w:r>
      <w:r w:rsidRPr="004F5420">
        <w:rPr>
          <w:sz w:val="22"/>
          <w:szCs w:val="22"/>
          <w:shd w:val="clear" w:color="auto" w:fill="FFFFFF"/>
          <w:lang w:val="sr-Cyrl-CS"/>
        </w:rPr>
        <w:t xml:space="preserve">складу са </w:t>
      </w:r>
      <w:r w:rsidR="00A91D24" w:rsidRPr="004F5420">
        <w:rPr>
          <w:sz w:val="22"/>
          <w:szCs w:val="22"/>
          <w:shd w:val="clear" w:color="auto" w:fill="FFFFFF"/>
          <w:lang w:val="sr-Cyrl-CS"/>
        </w:rPr>
        <w:t xml:space="preserve">важећим </w:t>
      </w:r>
      <w:r w:rsidRPr="004F5420">
        <w:rPr>
          <w:sz w:val="22"/>
          <w:szCs w:val="22"/>
          <w:shd w:val="clear" w:color="auto" w:fill="FFFFFF"/>
          <w:lang w:val="sr-Cyrl-CS"/>
        </w:rPr>
        <w:t>епидемиолошким мерама</w:t>
      </w:r>
      <w:r w:rsidR="00A91D24" w:rsidRPr="004F5420">
        <w:rPr>
          <w:sz w:val="22"/>
          <w:szCs w:val="22"/>
          <w:shd w:val="clear" w:color="auto" w:fill="FFFFFF"/>
          <w:lang w:val="sr-Cyrl-CS"/>
        </w:rPr>
        <w:t xml:space="preserve">, </w:t>
      </w:r>
      <w:r w:rsidRPr="004F5420">
        <w:rPr>
          <w:sz w:val="22"/>
          <w:szCs w:val="22"/>
          <w:shd w:val="clear" w:color="auto" w:fill="FFFFFF"/>
          <w:lang w:val="sr-Cyrl-CS"/>
        </w:rPr>
        <w:t xml:space="preserve">те да су учесници дужни да се у току јавног </w:t>
      </w:r>
      <w:r w:rsidR="00A91D24" w:rsidRPr="004F5420">
        <w:rPr>
          <w:sz w:val="22"/>
          <w:szCs w:val="22"/>
          <w:shd w:val="clear" w:color="auto" w:fill="FFFFFF"/>
          <w:lang w:val="sr-Cyrl-CS"/>
        </w:rPr>
        <w:t>отварања понуда</w:t>
      </w:r>
      <w:r w:rsidRPr="004F5420">
        <w:rPr>
          <w:sz w:val="22"/>
          <w:szCs w:val="22"/>
          <w:shd w:val="clear" w:color="auto" w:fill="FFFFFF"/>
          <w:lang w:val="sr-Cyrl-CS"/>
        </w:rPr>
        <w:t xml:space="preserve"> придржавају свих епидемиолошких мера прописаних одлукама Кризног штаба Владе Републике Србије.</w:t>
      </w:r>
    </w:p>
    <w:p w:rsidR="00DC7AFA" w:rsidRPr="004F5420" w:rsidRDefault="00DC7AFA" w:rsidP="00D50223">
      <w:pPr>
        <w:jc w:val="both"/>
        <w:rPr>
          <w:sz w:val="22"/>
          <w:szCs w:val="22"/>
          <w:lang w:val="sr-Cyrl-CS"/>
        </w:rPr>
      </w:pPr>
    </w:p>
    <w:p w:rsidR="00630816" w:rsidRPr="004F5420" w:rsidRDefault="00B906DF" w:rsidP="00D50223">
      <w:pPr>
        <w:jc w:val="both"/>
        <w:rPr>
          <w:sz w:val="22"/>
          <w:szCs w:val="22"/>
          <w:lang w:val="sr-Cyrl-CS"/>
        </w:rPr>
      </w:pPr>
      <w:r w:rsidRPr="004F5420">
        <w:rPr>
          <w:sz w:val="22"/>
          <w:szCs w:val="22"/>
          <w:lang w:val="sr-Cyrl-CS"/>
        </w:rPr>
        <w:t xml:space="preserve">Овлашћено лице: </w:t>
      </w:r>
      <w:r w:rsidR="00A91D24" w:rsidRPr="004F5420">
        <w:rPr>
          <w:sz w:val="22"/>
          <w:szCs w:val="22"/>
          <w:lang w:val="sr-Cyrl-CS"/>
        </w:rPr>
        <w:t>стечајни управник</w:t>
      </w:r>
      <w:r w:rsidRPr="004F5420">
        <w:rPr>
          <w:sz w:val="22"/>
          <w:szCs w:val="22"/>
          <w:lang w:val="sr-Cyrl-CS"/>
        </w:rPr>
        <w:t xml:space="preserve"> Милена Костић, контакт телефон: 063/256-020</w:t>
      </w:r>
      <w:r w:rsidR="00A91D24" w:rsidRPr="004F5420">
        <w:rPr>
          <w:sz w:val="22"/>
          <w:szCs w:val="22"/>
          <w:lang w:val="sr-Cyrl-CS"/>
        </w:rPr>
        <w:t>, мејл адреса: mlnkstc@gmail.com</w:t>
      </w:r>
      <w:r w:rsidRPr="004F5420">
        <w:rPr>
          <w:sz w:val="22"/>
          <w:szCs w:val="22"/>
          <w:lang w:val="sr-Cyrl-CS"/>
        </w:rPr>
        <w:t>.</w:t>
      </w:r>
    </w:p>
    <w:p w:rsidR="00271F8C" w:rsidRPr="004F5420" w:rsidRDefault="00271F8C" w:rsidP="00D50223">
      <w:pPr>
        <w:jc w:val="both"/>
        <w:rPr>
          <w:sz w:val="22"/>
          <w:szCs w:val="22"/>
          <w:lang w:val="sr-Cyrl-CS"/>
        </w:rPr>
      </w:pPr>
    </w:p>
    <w:sectPr w:rsidR="00271F8C" w:rsidRPr="004F5420" w:rsidSect="00D50223">
      <w:headerReference w:type="default" r:id="rId7"/>
      <w:pgSz w:w="11909" w:h="16834" w:code="9"/>
      <w:pgMar w:top="1418" w:right="1418" w:bottom="1418" w:left="1418" w:header="720" w:footer="8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66A" w:rsidRDefault="00A0366A">
      <w:r>
        <w:separator/>
      </w:r>
    </w:p>
  </w:endnote>
  <w:endnote w:type="continuationSeparator" w:id="1">
    <w:p w:rsidR="00A0366A" w:rsidRDefault="00A036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66A" w:rsidRDefault="00A0366A">
      <w:r>
        <w:separator/>
      </w:r>
    </w:p>
  </w:footnote>
  <w:footnote w:type="continuationSeparator" w:id="1">
    <w:p w:rsidR="00A0366A" w:rsidRDefault="00A03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28F" w:rsidRDefault="00B1228F" w:rsidP="00BD4852">
    <w:pPr>
      <w:pStyle w:val="Header"/>
      <w:ind w:left="-21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FFD"/>
    <w:multiLevelType w:val="hybridMultilevel"/>
    <w:tmpl w:val="6718810E"/>
    <w:lvl w:ilvl="0" w:tplc="081A000F">
      <w:start w:val="1"/>
      <w:numFmt w:val="decimal"/>
      <w:lvlText w:val="%1."/>
      <w:lvlJc w:val="left"/>
      <w:pPr>
        <w:ind w:left="1892" w:hanging="360"/>
      </w:pPr>
      <w:rPr>
        <w:rFonts w:hint="default"/>
      </w:rPr>
    </w:lvl>
    <w:lvl w:ilvl="1" w:tplc="F134F0DA">
      <w:start w:val="1"/>
      <w:numFmt w:val="bullet"/>
      <w:lvlText w:val=""/>
      <w:lvlJc w:val="left"/>
      <w:pPr>
        <w:ind w:left="1761" w:hanging="360"/>
      </w:pPr>
      <w:rPr>
        <w:rFonts w:ascii="Symbol" w:hAnsi="Symbol" w:hint="default"/>
      </w:rPr>
    </w:lvl>
    <w:lvl w:ilvl="2" w:tplc="081A0005" w:tentative="1">
      <w:start w:val="1"/>
      <w:numFmt w:val="bullet"/>
      <w:lvlText w:val=""/>
      <w:lvlJc w:val="left"/>
      <w:pPr>
        <w:ind w:left="2481" w:hanging="360"/>
      </w:pPr>
      <w:rPr>
        <w:rFonts w:ascii="Wingdings" w:hAnsi="Wingdings" w:hint="default"/>
      </w:rPr>
    </w:lvl>
    <w:lvl w:ilvl="3" w:tplc="081A0001" w:tentative="1">
      <w:start w:val="1"/>
      <w:numFmt w:val="bullet"/>
      <w:lvlText w:val=""/>
      <w:lvlJc w:val="left"/>
      <w:pPr>
        <w:ind w:left="3201" w:hanging="360"/>
      </w:pPr>
      <w:rPr>
        <w:rFonts w:ascii="Symbol" w:hAnsi="Symbol" w:hint="default"/>
      </w:rPr>
    </w:lvl>
    <w:lvl w:ilvl="4" w:tplc="081A0003" w:tentative="1">
      <w:start w:val="1"/>
      <w:numFmt w:val="bullet"/>
      <w:lvlText w:val="o"/>
      <w:lvlJc w:val="left"/>
      <w:pPr>
        <w:ind w:left="3921" w:hanging="360"/>
      </w:pPr>
      <w:rPr>
        <w:rFonts w:ascii="Courier New" w:hAnsi="Courier New" w:cs="Courier New" w:hint="default"/>
      </w:rPr>
    </w:lvl>
    <w:lvl w:ilvl="5" w:tplc="081A0005" w:tentative="1">
      <w:start w:val="1"/>
      <w:numFmt w:val="bullet"/>
      <w:lvlText w:val=""/>
      <w:lvlJc w:val="left"/>
      <w:pPr>
        <w:ind w:left="4641" w:hanging="360"/>
      </w:pPr>
      <w:rPr>
        <w:rFonts w:ascii="Wingdings" w:hAnsi="Wingdings" w:hint="default"/>
      </w:rPr>
    </w:lvl>
    <w:lvl w:ilvl="6" w:tplc="081A0001" w:tentative="1">
      <w:start w:val="1"/>
      <w:numFmt w:val="bullet"/>
      <w:lvlText w:val=""/>
      <w:lvlJc w:val="left"/>
      <w:pPr>
        <w:ind w:left="5361" w:hanging="360"/>
      </w:pPr>
      <w:rPr>
        <w:rFonts w:ascii="Symbol" w:hAnsi="Symbol" w:hint="default"/>
      </w:rPr>
    </w:lvl>
    <w:lvl w:ilvl="7" w:tplc="081A0003" w:tentative="1">
      <w:start w:val="1"/>
      <w:numFmt w:val="bullet"/>
      <w:lvlText w:val="o"/>
      <w:lvlJc w:val="left"/>
      <w:pPr>
        <w:ind w:left="6081" w:hanging="360"/>
      </w:pPr>
      <w:rPr>
        <w:rFonts w:ascii="Courier New" w:hAnsi="Courier New" w:cs="Courier New" w:hint="default"/>
      </w:rPr>
    </w:lvl>
    <w:lvl w:ilvl="8" w:tplc="081A0005" w:tentative="1">
      <w:start w:val="1"/>
      <w:numFmt w:val="bullet"/>
      <w:lvlText w:val=""/>
      <w:lvlJc w:val="left"/>
      <w:pPr>
        <w:ind w:left="6801" w:hanging="360"/>
      </w:pPr>
      <w:rPr>
        <w:rFonts w:ascii="Wingdings" w:hAnsi="Wingdings" w:hint="default"/>
      </w:rPr>
    </w:lvl>
  </w:abstractNum>
  <w:abstractNum w:abstractNumId="1">
    <w:nsid w:val="0FFA2B62"/>
    <w:multiLevelType w:val="hybridMultilevel"/>
    <w:tmpl w:val="DD2A44C0"/>
    <w:lvl w:ilvl="0" w:tplc="B980DE0E">
      <w:start w:val="1"/>
      <w:numFmt w:val="decimal"/>
      <w:lvlText w:val="%1."/>
      <w:lvlJc w:val="left"/>
      <w:pPr>
        <w:tabs>
          <w:tab w:val="num" w:pos="644"/>
        </w:tabs>
        <w:ind w:left="644" w:hanging="360"/>
      </w:pPr>
      <w:rPr>
        <w:b/>
      </w:rPr>
    </w:lvl>
    <w:lvl w:ilvl="1" w:tplc="C030850C">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2E50BE2"/>
    <w:multiLevelType w:val="hybridMultilevel"/>
    <w:tmpl w:val="7FF42C18"/>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1E5C582C"/>
    <w:multiLevelType w:val="hybridMultilevel"/>
    <w:tmpl w:val="EA8A4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47D37"/>
    <w:multiLevelType w:val="hybridMultilevel"/>
    <w:tmpl w:val="14264C40"/>
    <w:lvl w:ilvl="0" w:tplc="C030850C">
      <w:start w:val="1"/>
      <w:numFmt w:val="bullet"/>
      <w:lvlText w:val=""/>
      <w:lvlJc w:val="left"/>
      <w:pPr>
        <w:ind w:left="1080" w:hanging="360"/>
      </w:pPr>
      <w:rPr>
        <w:rFonts w:ascii="Symbol" w:hAnsi="Symbol" w:hint="default"/>
        <w:b/>
      </w:rPr>
    </w:lvl>
    <w:lvl w:ilvl="1" w:tplc="241A0003">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5C1407F"/>
    <w:multiLevelType w:val="hybridMultilevel"/>
    <w:tmpl w:val="097AD2E4"/>
    <w:lvl w:ilvl="0" w:tplc="F134F0DA">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7">
    <w:nsid w:val="5CED39BA"/>
    <w:multiLevelType w:val="hybridMultilevel"/>
    <w:tmpl w:val="ABCA0D62"/>
    <w:lvl w:ilvl="0" w:tplc="CB785B6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8">
    <w:nsid w:val="5EF93813"/>
    <w:multiLevelType w:val="hybridMultilevel"/>
    <w:tmpl w:val="FC3C414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5F7F5609"/>
    <w:multiLevelType w:val="hybridMultilevel"/>
    <w:tmpl w:val="A93CE3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694830DE"/>
    <w:multiLevelType w:val="hybridMultilevel"/>
    <w:tmpl w:val="F91A109A"/>
    <w:lvl w:ilvl="0" w:tplc="FFFFFFF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720E5AD9"/>
    <w:multiLevelType w:val="hybridMultilevel"/>
    <w:tmpl w:val="83968C5C"/>
    <w:lvl w:ilvl="0" w:tplc="CB785B6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2">
    <w:nsid w:val="77972BD4"/>
    <w:multiLevelType w:val="hybridMultilevel"/>
    <w:tmpl w:val="39EA179C"/>
    <w:lvl w:ilvl="0" w:tplc="F134F0DA">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3">
    <w:nsid w:val="7DC366B6"/>
    <w:multiLevelType w:val="hybridMultilevel"/>
    <w:tmpl w:val="53682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9"/>
  </w:num>
  <w:num w:numId="7">
    <w:abstractNumId w:val="5"/>
  </w:num>
  <w:num w:numId="8">
    <w:abstractNumId w:val="3"/>
  </w:num>
  <w:num w:numId="9">
    <w:abstractNumId w:val="0"/>
  </w:num>
  <w:num w:numId="10">
    <w:abstractNumId w:val="11"/>
  </w:num>
  <w:num w:numId="11">
    <w:abstractNumId w:val="7"/>
  </w:num>
  <w:num w:numId="12">
    <w:abstractNumId w:val="10"/>
  </w:num>
  <w:num w:numId="13">
    <w:abstractNumId w:val="6"/>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0"/>
    <w:footnote w:id="1"/>
  </w:footnotePr>
  <w:endnotePr>
    <w:endnote w:id="0"/>
    <w:endnote w:id="1"/>
  </w:endnotePr>
  <w:compat/>
  <w:rsids>
    <w:rsidRoot w:val="006740D3"/>
    <w:rsid w:val="00000D88"/>
    <w:rsid w:val="000236A3"/>
    <w:rsid w:val="00024563"/>
    <w:rsid w:val="00025DBF"/>
    <w:rsid w:val="000515EF"/>
    <w:rsid w:val="00063153"/>
    <w:rsid w:val="00071AAF"/>
    <w:rsid w:val="000808CD"/>
    <w:rsid w:val="00081800"/>
    <w:rsid w:val="000850B5"/>
    <w:rsid w:val="000964FD"/>
    <w:rsid w:val="000A4CFF"/>
    <w:rsid w:val="000B26BE"/>
    <w:rsid w:val="000C4CDE"/>
    <w:rsid w:val="001130E9"/>
    <w:rsid w:val="001154DE"/>
    <w:rsid w:val="00115600"/>
    <w:rsid w:val="00117705"/>
    <w:rsid w:val="0012253B"/>
    <w:rsid w:val="001315BF"/>
    <w:rsid w:val="00132721"/>
    <w:rsid w:val="00133842"/>
    <w:rsid w:val="00136F42"/>
    <w:rsid w:val="00142203"/>
    <w:rsid w:val="00143BE8"/>
    <w:rsid w:val="001445A1"/>
    <w:rsid w:val="00147207"/>
    <w:rsid w:val="00172010"/>
    <w:rsid w:val="00174B8A"/>
    <w:rsid w:val="00176C63"/>
    <w:rsid w:val="00183A0A"/>
    <w:rsid w:val="001965D7"/>
    <w:rsid w:val="001978D6"/>
    <w:rsid w:val="001C5871"/>
    <w:rsid w:val="001D61F6"/>
    <w:rsid w:val="001E71D6"/>
    <w:rsid w:val="0020132D"/>
    <w:rsid w:val="00214559"/>
    <w:rsid w:val="00214BCF"/>
    <w:rsid w:val="002227D5"/>
    <w:rsid w:val="00227810"/>
    <w:rsid w:val="00227ACF"/>
    <w:rsid w:val="00231E9A"/>
    <w:rsid w:val="00232675"/>
    <w:rsid w:val="0023465D"/>
    <w:rsid w:val="00245C06"/>
    <w:rsid w:val="00253565"/>
    <w:rsid w:val="00255837"/>
    <w:rsid w:val="00271F8C"/>
    <w:rsid w:val="002771FB"/>
    <w:rsid w:val="002C26CA"/>
    <w:rsid w:val="002C4648"/>
    <w:rsid w:val="002D304F"/>
    <w:rsid w:val="002D5179"/>
    <w:rsid w:val="002E3223"/>
    <w:rsid w:val="002E525C"/>
    <w:rsid w:val="002F06FA"/>
    <w:rsid w:val="002F5696"/>
    <w:rsid w:val="002F6F0D"/>
    <w:rsid w:val="0030289D"/>
    <w:rsid w:val="0031741D"/>
    <w:rsid w:val="003204A8"/>
    <w:rsid w:val="00320887"/>
    <w:rsid w:val="00326845"/>
    <w:rsid w:val="00326B33"/>
    <w:rsid w:val="0034224F"/>
    <w:rsid w:val="00352247"/>
    <w:rsid w:val="0035554C"/>
    <w:rsid w:val="00375E99"/>
    <w:rsid w:val="003B14F3"/>
    <w:rsid w:val="003C0A9A"/>
    <w:rsid w:val="003C2FAE"/>
    <w:rsid w:val="003D497B"/>
    <w:rsid w:val="003E01BB"/>
    <w:rsid w:val="003F72E2"/>
    <w:rsid w:val="0040044C"/>
    <w:rsid w:val="00403F57"/>
    <w:rsid w:val="00411945"/>
    <w:rsid w:val="00411DAD"/>
    <w:rsid w:val="00414818"/>
    <w:rsid w:val="00421C62"/>
    <w:rsid w:val="00423F06"/>
    <w:rsid w:val="00427E88"/>
    <w:rsid w:val="00431840"/>
    <w:rsid w:val="0043214A"/>
    <w:rsid w:val="0043566D"/>
    <w:rsid w:val="004578DC"/>
    <w:rsid w:val="00462221"/>
    <w:rsid w:val="004658A6"/>
    <w:rsid w:val="004714A9"/>
    <w:rsid w:val="00494B14"/>
    <w:rsid w:val="00497514"/>
    <w:rsid w:val="004A2566"/>
    <w:rsid w:val="004D0955"/>
    <w:rsid w:val="004D6D60"/>
    <w:rsid w:val="004D7DB5"/>
    <w:rsid w:val="004E1B9C"/>
    <w:rsid w:val="004F23C4"/>
    <w:rsid w:val="004F5420"/>
    <w:rsid w:val="004F7E4C"/>
    <w:rsid w:val="00504BA4"/>
    <w:rsid w:val="00511A6E"/>
    <w:rsid w:val="00513AC5"/>
    <w:rsid w:val="005173FC"/>
    <w:rsid w:val="00522096"/>
    <w:rsid w:val="005248B7"/>
    <w:rsid w:val="00527E6E"/>
    <w:rsid w:val="005501E1"/>
    <w:rsid w:val="0057105B"/>
    <w:rsid w:val="0058060C"/>
    <w:rsid w:val="00592829"/>
    <w:rsid w:val="005A4D74"/>
    <w:rsid w:val="005C3AE7"/>
    <w:rsid w:val="005D750D"/>
    <w:rsid w:val="005E1CE8"/>
    <w:rsid w:val="005E5717"/>
    <w:rsid w:val="005F0B4E"/>
    <w:rsid w:val="006018E9"/>
    <w:rsid w:val="00601DE5"/>
    <w:rsid w:val="0062443C"/>
    <w:rsid w:val="00630816"/>
    <w:rsid w:val="00631CE5"/>
    <w:rsid w:val="00634741"/>
    <w:rsid w:val="00636B4C"/>
    <w:rsid w:val="00637579"/>
    <w:rsid w:val="006428AB"/>
    <w:rsid w:val="00645D61"/>
    <w:rsid w:val="00656FE0"/>
    <w:rsid w:val="00665DA1"/>
    <w:rsid w:val="006740D3"/>
    <w:rsid w:val="00681E96"/>
    <w:rsid w:val="00686E7E"/>
    <w:rsid w:val="006916AC"/>
    <w:rsid w:val="00691EAD"/>
    <w:rsid w:val="006921FA"/>
    <w:rsid w:val="00693961"/>
    <w:rsid w:val="00694267"/>
    <w:rsid w:val="00696195"/>
    <w:rsid w:val="006C4BD0"/>
    <w:rsid w:val="006D1FEA"/>
    <w:rsid w:val="006D2CD4"/>
    <w:rsid w:val="00700AF5"/>
    <w:rsid w:val="007036BC"/>
    <w:rsid w:val="007062F1"/>
    <w:rsid w:val="00723806"/>
    <w:rsid w:val="007340E5"/>
    <w:rsid w:val="00760A06"/>
    <w:rsid w:val="00761ACB"/>
    <w:rsid w:val="00762A4D"/>
    <w:rsid w:val="007654B4"/>
    <w:rsid w:val="00767995"/>
    <w:rsid w:val="00771DAF"/>
    <w:rsid w:val="0077293E"/>
    <w:rsid w:val="00776D46"/>
    <w:rsid w:val="00784D51"/>
    <w:rsid w:val="007915BF"/>
    <w:rsid w:val="007967C4"/>
    <w:rsid w:val="007B0387"/>
    <w:rsid w:val="007B255C"/>
    <w:rsid w:val="007B6757"/>
    <w:rsid w:val="007C103C"/>
    <w:rsid w:val="007C1621"/>
    <w:rsid w:val="007C2C4F"/>
    <w:rsid w:val="007C6C4E"/>
    <w:rsid w:val="007D1C52"/>
    <w:rsid w:val="007D59D4"/>
    <w:rsid w:val="007E24E1"/>
    <w:rsid w:val="007F2CCD"/>
    <w:rsid w:val="007F3A61"/>
    <w:rsid w:val="0080648A"/>
    <w:rsid w:val="00822CE9"/>
    <w:rsid w:val="008247FE"/>
    <w:rsid w:val="00832343"/>
    <w:rsid w:val="00836709"/>
    <w:rsid w:val="0084519F"/>
    <w:rsid w:val="0086274D"/>
    <w:rsid w:val="00862E09"/>
    <w:rsid w:val="008670B7"/>
    <w:rsid w:val="00872DF4"/>
    <w:rsid w:val="0087357C"/>
    <w:rsid w:val="00881977"/>
    <w:rsid w:val="00881E04"/>
    <w:rsid w:val="008953C3"/>
    <w:rsid w:val="0089558A"/>
    <w:rsid w:val="008A30CD"/>
    <w:rsid w:val="008B165D"/>
    <w:rsid w:val="008B4F8F"/>
    <w:rsid w:val="008D1B09"/>
    <w:rsid w:val="008D3C15"/>
    <w:rsid w:val="008E35F5"/>
    <w:rsid w:val="008E70E2"/>
    <w:rsid w:val="008F120E"/>
    <w:rsid w:val="008F1B98"/>
    <w:rsid w:val="00903E31"/>
    <w:rsid w:val="00916EEA"/>
    <w:rsid w:val="009243E1"/>
    <w:rsid w:val="0093383D"/>
    <w:rsid w:val="009338F5"/>
    <w:rsid w:val="00936A38"/>
    <w:rsid w:val="00950954"/>
    <w:rsid w:val="00953A30"/>
    <w:rsid w:val="00965D9B"/>
    <w:rsid w:val="00981208"/>
    <w:rsid w:val="00983057"/>
    <w:rsid w:val="00985CDF"/>
    <w:rsid w:val="00991C41"/>
    <w:rsid w:val="009965C4"/>
    <w:rsid w:val="009969C7"/>
    <w:rsid w:val="00997390"/>
    <w:rsid w:val="009A13DB"/>
    <w:rsid w:val="009A2E77"/>
    <w:rsid w:val="009B79F9"/>
    <w:rsid w:val="009F441D"/>
    <w:rsid w:val="00A0366A"/>
    <w:rsid w:val="00A04A50"/>
    <w:rsid w:val="00A164D6"/>
    <w:rsid w:val="00A225F6"/>
    <w:rsid w:val="00A24BB5"/>
    <w:rsid w:val="00A26DF1"/>
    <w:rsid w:val="00A415D7"/>
    <w:rsid w:val="00A54D33"/>
    <w:rsid w:val="00A54D87"/>
    <w:rsid w:val="00A60D95"/>
    <w:rsid w:val="00A77EE8"/>
    <w:rsid w:val="00A80AA6"/>
    <w:rsid w:val="00A86A39"/>
    <w:rsid w:val="00A91D24"/>
    <w:rsid w:val="00AA1F34"/>
    <w:rsid w:val="00AA3C9E"/>
    <w:rsid w:val="00AA6BCE"/>
    <w:rsid w:val="00AA76E1"/>
    <w:rsid w:val="00AB0038"/>
    <w:rsid w:val="00AB42A2"/>
    <w:rsid w:val="00AD0F08"/>
    <w:rsid w:val="00AD654E"/>
    <w:rsid w:val="00AE027D"/>
    <w:rsid w:val="00AE0416"/>
    <w:rsid w:val="00AE4D2E"/>
    <w:rsid w:val="00AE5CE1"/>
    <w:rsid w:val="00AF2208"/>
    <w:rsid w:val="00AF34F9"/>
    <w:rsid w:val="00AF4D70"/>
    <w:rsid w:val="00B03896"/>
    <w:rsid w:val="00B061A9"/>
    <w:rsid w:val="00B1228F"/>
    <w:rsid w:val="00B16EA3"/>
    <w:rsid w:val="00B3190A"/>
    <w:rsid w:val="00B32D80"/>
    <w:rsid w:val="00B422BE"/>
    <w:rsid w:val="00B43AB1"/>
    <w:rsid w:val="00B44908"/>
    <w:rsid w:val="00B47AE7"/>
    <w:rsid w:val="00B61337"/>
    <w:rsid w:val="00B84396"/>
    <w:rsid w:val="00B8548D"/>
    <w:rsid w:val="00B906DF"/>
    <w:rsid w:val="00BA63E0"/>
    <w:rsid w:val="00BB02E8"/>
    <w:rsid w:val="00BB2A81"/>
    <w:rsid w:val="00BB3A58"/>
    <w:rsid w:val="00BB53D5"/>
    <w:rsid w:val="00BB5C13"/>
    <w:rsid w:val="00BC4C67"/>
    <w:rsid w:val="00BD4852"/>
    <w:rsid w:val="00BE3254"/>
    <w:rsid w:val="00BE6CEC"/>
    <w:rsid w:val="00BE7ED8"/>
    <w:rsid w:val="00BF1DE5"/>
    <w:rsid w:val="00BF689B"/>
    <w:rsid w:val="00BF718C"/>
    <w:rsid w:val="00C5485D"/>
    <w:rsid w:val="00C65798"/>
    <w:rsid w:val="00C74B9B"/>
    <w:rsid w:val="00C82340"/>
    <w:rsid w:val="00C92B73"/>
    <w:rsid w:val="00CA2CC2"/>
    <w:rsid w:val="00CA3659"/>
    <w:rsid w:val="00CB1D7D"/>
    <w:rsid w:val="00CB400E"/>
    <w:rsid w:val="00CB6754"/>
    <w:rsid w:val="00CC3D36"/>
    <w:rsid w:val="00CD3C14"/>
    <w:rsid w:val="00CD7FAA"/>
    <w:rsid w:val="00D0267F"/>
    <w:rsid w:val="00D05B4B"/>
    <w:rsid w:val="00D1055B"/>
    <w:rsid w:val="00D13678"/>
    <w:rsid w:val="00D163E3"/>
    <w:rsid w:val="00D3463F"/>
    <w:rsid w:val="00D50223"/>
    <w:rsid w:val="00D537E9"/>
    <w:rsid w:val="00D57278"/>
    <w:rsid w:val="00D707D6"/>
    <w:rsid w:val="00D70B4A"/>
    <w:rsid w:val="00D84CD7"/>
    <w:rsid w:val="00D8712C"/>
    <w:rsid w:val="00D8717D"/>
    <w:rsid w:val="00D93D5E"/>
    <w:rsid w:val="00D93FA0"/>
    <w:rsid w:val="00DA374D"/>
    <w:rsid w:val="00DB11F2"/>
    <w:rsid w:val="00DB7913"/>
    <w:rsid w:val="00DC682B"/>
    <w:rsid w:val="00DC777C"/>
    <w:rsid w:val="00DC7AFA"/>
    <w:rsid w:val="00DD133C"/>
    <w:rsid w:val="00DD31C4"/>
    <w:rsid w:val="00DE04E2"/>
    <w:rsid w:val="00DE44ED"/>
    <w:rsid w:val="00DE63B3"/>
    <w:rsid w:val="00DF2D2B"/>
    <w:rsid w:val="00DF649F"/>
    <w:rsid w:val="00E0613A"/>
    <w:rsid w:val="00E2339A"/>
    <w:rsid w:val="00E440F6"/>
    <w:rsid w:val="00E440FF"/>
    <w:rsid w:val="00E476C1"/>
    <w:rsid w:val="00E57BFA"/>
    <w:rsid w:val="00E631AB"/>
    <w:rsid w:val="00E71EBF"/>
    <w:rsid w:val="00E728F1"/>
    <w:rsid w:val="00E742D9"/>
    <w:rsid w:val="00E7584A"/>
    <w:rsid w:val="00E76C45"/>
    <w:rsid w:val="00E801AC"/>
    <w:rsid w:val="00E92990"/>
    <w:rsid w:val="00E95A0A"/>
    <w:rsid w:val="00EB6020"/>
    <w:rsid w:val="00ED0292"/>
    <w:rsid w:val="00ED10BB"/>
    <w:rsid w:val="00ED1A11"/>
    <w:rsid w:val="00ED5505"/>
    <w:rsid w:val="00EE0684"/>
    <w:rsid w:val="00EF2CD6"/>
    <w:rsid w:val="00F07CB5"/>
    <w:rsid w:val="00F26416"/>
    <w:rsid w:val="00F60AC0"/>
    <w:rsid w:val="00F61A72"/>
    <w:rsid w:val="00F65733"/>
    <w:rsid w:val="00F71338"/>
    <w:rsid w:val="00F722B6"/>
    <w:rsid w:val="00F77CEE"/>
    <w:rsid w:val="00F85798"/>
    <w:rsid w:val="00F86512"/>
    <w:rsid w:val="00F922CC"/>
    <w:rsid w:val="00FA0AE2"/>
    <w:rsid w:val="00FB75E8"/>
    <w:rsid w:val="00FC46B5"/>
    <w:rsid w:val="00FC6514"/>
    <w:rsid w:val="00FE49E8"/>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F5"/>
    <w:rPr>
      <w:lang w:val="en-US" w:eastAsia="en-US"/>
    </w:rPr>
  </w:style>
  <w:style w:type="paragraph" w:styleId="Heading1">
    <w:name w:val="heading 1"/>
    <w:basedOn w:val="Normal"/>
    <w:next w:val="Normal"/>
    <w:qFormat/>
    <w:rsid w:val="0098120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5F5"/>
    <w:pPr>
      <w:tabs>
        <w:tab w:val="center" w:pos="4320"/>
        <w:tab w:val="right" w:pos="8640"/>
      </w:tabs>
    </w:pPr>
  </w:style>
  <w:style w:type="paragraph" w:styleId="Footer">
    <w:name w:val="footer"/>
    <w:basedOn w:val="Normal"/>
    <w:link w:val="FooterChar1"/>
    <w:rsid w:val="008E35F5"/>
    <w:pPr>
      <w:tabs>
        <w:tab w:val="center" w:pos="4320"/>
        <w:tab w:val="right" w:pos="8640"/>
      </w:tabs>
    </w:pPr>
  </w:style>
  <w:style w:type="table" w:styleId="TableWeb3">
    <w:name w:val="Table Web 3"/>
    <w:basedOn w:val="TableNormal"/>
    <w:rsid w:val="00DE63B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emo">
    <w:name w:val="memo"/>
    <w:basedOn w:val="Normal"/>
    <w:rsid w:val="008E35F5"/>
    <w:rPr>
      <w:rFonts w:ascii="Arial" w:hAnsi="Arial"/>
    </w:rPr>
  </w:style>
  <w:style w:type="paragraph" w:styleId="Title">
    <w:name w:val="Title"/>
    <w:basedOn w:val="Normal"/>
    <w:link w:val="TitleChar"/>
    <w:qFormat/>
    <w:rsid w:val="007C103C"/>
    <w:pPr>
      <w:jc w:val="center"/>
    </w:pPr>
    <w:rPr>
      <w:b/>
      <w:bCs/>
      <w:sz w:val="24"/>
      <w:szCs w:val="24"/>
    </w:rPr>
  </w:style>
  <w:style w:type="character" w:customStyle="1" w:styleId="TitleChar">
    <w:name w:val="Title Char"/>
    <w:link w:val="Title"/>
    <w:locked/>
    <w:rsid w:val="007C103C"/>
    <w:rPr>
      <w:b/>
      <w:bCs/>
      <w:sz w:val="24"/>
      <w:szCs w:val="24"/>
      <w:lang w:val="en-US" w:eastAsia="en-US" w:bidi="ar-SA"/>
    </w:rPr>
  </w:style>
  <w:style w:type="character" w:customStyle="1" w:styleId="FooterChar1">
    <w:name w:val="Footer Char1"/>
    <w:link w:val="Footer"/>
    <w:semiHidden/>
    <w:locked/>
    <w:rsid w:val="00BB53D5"/>
    <w:rPr>
      <w:lang w:val="en-US" w:eastAsia="en-US" w:bidi="ar-SA"/>
    </w:rPr>
  </w:style>
  <w:style w:type="character" w:customStyle="1" w:styleId="FooterChar">
    <w:name w:val="Footer Char"/>
    <w:semiHidden/>
    <w:locked/>
    <w:rsid w:val="00176C63"/>
    <w:rPr>
      <w:sz w:val="24"/>
      <w:lang w:val="en-US" w:eastAsia="en-US"/>
    </w:rPr>
  </w:style>
  <w:style w:type="paragraph" w:styleId="ListParagraph">
    <w:name w:val="List Paragraph"/>
    <w:basedOn w:val="Normal"/>
    <w:uiPriority w:val="34"/>
    <w:qFormat/>
    <w:rsid w:val="00B906DF"/>
    <w:pPr>
      <w:ind w:left="720"/>
      <w:contextualSpacing/>
    </w:pPr>
  </w:style>
  <w:style w:type="character" w:styleId="Hyperlink">
    <w:name w:val="Hyperlink"/>
    <w:uiPriority w:val="99"/>
    <w:unhideWhenUsed/>
    <w:rsid w:val="00271F8C"/>
    <w:rPr>
      <w:color w:val="0000FF"/>
      <w:u w:val="single"/>
    </w:rPr>
  </w:style>
  <w:style w:type="paragraph" w:styleId="NoSpacing">
    <w:name w:val="No Spacing"/>
    <w:uiPriority w:val="1"/>
    <w:qFormat/>
    <w:rsid w:val="00271F8C"/>
    <w:rPr>
      <w:sz w:val="24"/>
      <w:szCs w:val="24"/>
      <w:lang w:val="en-US" w:eastAsia="en-US"/>
    </w:rPr>
  </w:style>
  <w:style w:type="paragraph" w:customStyle="1" w:styleId="basic-paragraph">
    <w:name w:val="basic-paragraph"/>
    <w:basedOn w:val="Normal"/>
    <w:rsid w:val="008E70E2"/>
    <w:pPr>
      <w:ind w:firstLine="480"/>
    </w:pPr>
    <w:rPr>
      <w:rFonts w:ascii="Verdana" w:hAnsi="Verdana"/>
      <w:sz w:val="24"/>
      <w:szCs w:val="24"/>
    </w:rPr>
  </w:style>
  <w:style w:type="paragraph" w:styleId="BalloonText">
    <w:name w:val="Balloon Text"/>
    <w:basedOn w:val="Normal"/>
    <w:link w:val="BalloonTextChar"/>
    <w:rsid w:val="004F5420"/>
    <w:rPr>
      <w:rFonts w:ascii="Tahoma" w:hAnsi="Tahoma" w:cs="Tahoma"/>
      <w:sz w:val="16"/>
      <w:szCs w:val="16"/>
    </w:rPr>
  </w:style>
  <w:style w:type="character" w:customStyle="1" w:styleId="BalloonTextChar">
    <w:name w:val="Balloon Text Char"/>
    <w:basedOn w:val="DefaultParagraphFont"/>
    <w:link w:val="BalloonText"/>
    <w:rsid w:val="004F542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83274936">
      <w:bodyDiv w:val="1"/>
      <w:marLeft w:val="0"/>
      <w:marRight w:val="0"/>
      <w:marTop w:val="0"/>
      <w:marBottom w:val="0"/>
      <w:divBdr>
        <w:top w:val="none" w:sz="0" w:space="0" w:color="auto"/>
        <w:left w:val="none" w:sz="0" w:space="0" w:color="auto"/>
        <w:bottom w:val="none" w:sz="0" w:space="0" w:color="auto"/>
        <w:right w:val="none" w:sz="0" w:space="0" w:color="auto"/>
      </w:divBdr>
    </w:div>
    <w:div w:id="185965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SVA</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Win7</cp:lastModifiedBy>
  <cp:revision>7</cp:revision>
  <cp:lastPrinted>2021-04-30T11:04:00Z</cp:lastPrinted>
  <dcterms:created xsi:type="dcterms:W3CDTF">2021-05-05T18:35:00Z</dcterms:created>
  <dcterms:modified xsi:type="dcterms:W3CDTF">2021-05-21T08:34:00Z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JAVNO</vt:lpwstr>
  </property>
  <property fmtid="{D5CDD505-2E9C-101B-9397-08002B2CF9AE}" pid="3" name="PM_Caveats_Count">
    <vt:lpwstr>0</vt:lpwstr>
  </property>
  <property fmtid="{D5CDD505-2E9C-101B-9397-08002B2CF9AE}" pid="4" name="PM_Originator_Hash_SHA1">
    <vt:lpwstr>6E321BDAFAFC404B8DD999491C0662C2EF9CEDD0</vt:lpwstr>
  </property>
  <property fmtid="{D5CDD505-2E9C-101B-9397-08002B2CF9AE}" pid="5" name="PM_SecurityClassification">
    <vt:lpwstr>JAVNO</vt:lpwstr>
  </property>
  <property fmtid="{D5CDD505-2E9C-101B-9397-08002B2CF9AE}" pid="6" name="PM_DisplayValueSecClassificationWithQualifier">
    <vt:lpwstr>JAVNO</vt:lpwstr>
  </property>
  <property fmtid="{D5CDD505-2E9C-101B-9397-08002B2CF9AE}" pid="7" name="PM_Qualifier">
    <vt:lpwstr/>
  </property>
  <property fmtid="{D5CDD505-2E9C-101B-9397-08002B2CF9AE}" pid="8" name="PM_Hash_SHA1">
    <vt:lpwstr>463BF7939361801B951413E758F6F8AF4F593B6E</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JAVNO</vt:lpwstr>
  </property>
  <property fmtid="{D5CDD505-2E9C-101B-9397-08002B2CF9AE}" pid="11" name="PM_ProtectiveMarkingValue_Header">
    <vt:lpwstr>JAVNO</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AIK</vt:lpwstr>
  </property>
  <property fmtid="{D5CDD505-2E9C-101B-9397-08002B2CF9AE}" pid="14" name="PM_Version">
    <vt:lpwstr>1.0</vt:lpwstr>
  </property>
  <property fmtid="{D5CDD505-2E9C-101B-9397-08002B2CF9AE}" pid="15" name="PM_Originating_FileId">
    <vt:lpwstr>92CAF7FAE6864E51BE76C35989FE160D</vt:lpwstr>
  </property>
  <property fmtid="{D5CDD505-2E9C-101B-9397-08002B2CF9AE}" pid="16" name="PM_OriginationTimeStamp">
    <vt:lpwstr>2021-04-29T15:12:30Z</vt:lpwstr>
  </property>
  <property fmtid="{D5CDD505-2E9C-101B-9397-08002B2CF9AE}" pid="17" name="PM_Hash_Version">
    <vt:lpwstr>2016.1</vt:lpwstr>
  </property>
  <property fmtid="{D5CDD505-2E9C-101B-9397-08002B2CF9AE}" pid="18" name="PM_Hash_Salt_Prev">
    <vt:lpwstr>9BC494D369F82B8A13A120B08BDBE3D8</vt:lpwstr>
  </property>
  <property fmtid="{D5CDD505-2E9C-101B-9397-08002B2CF9AE}" pid="19" name="PM_Hash_Salt">
    <vt:lpwstr>2C8B445A1496DB86F2A382346B61E453</vt:lpwstr>
  </property>
  <property fmtid="{D5CDD505-2E9C-101B-9397-08002B2CF9AE}" pid="20" name="PM_SecurityClassification_Prev">
    <vt:lpwstr>JAVNO</vt:lpwstr>
  </property>
  <property fmtid="{D5CDD505-2E9C-101B-9397-08002B2CF9AE}" pid="21" name="PM_Qualifier_Prev">
    <vt:lpwstr/>
  </property>
</Properties>
</file>